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杭州乐途食品有限公司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0" w:name="专业代码"/>
            <w:r>
              <w:rPr>
                <w:sz w:val="21"/>
                <w:szCs w:val="21"/>
              </w:rPr>
              <w:t>F：CIV-3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H：CIV-3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F：CIV-3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H：CIV-3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9525</wp:posOffset>
                  </wp:positionV>
                  <wp:extent cx="767715" cy="346710"/>
                  <wp:effectExtent l="0" t="0" r="6985" b="8890"/>
                  <wp:wrapSquare wrapText="bothSides"/>
                  <wp:docPr id="1" name="图片 1" descr="538687608936969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386876089369698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715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1177925</wp:posOffset>
                  </wp:positionH>
                  <wp:positionV relativeFrom="paragraph">
                    <wp:posOffset>43180</wp:posOffset>
                  </wp:positionV>
                  <wp:extent cx="223520" cy="412115"/>
                  <wp:effectExtent l="0" t="0" r="6985" b="5080"/>
                  <wp:wrapSquare wrapText="bothSides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3520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  <w:lang w:val="en-US" w:eastAsia="zh-CN"/>
              </w:rPr>
              <w:t>陈权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原辅料验收→存放→领料→部分原料清洗→配料→搅拌→煮浆→灌装→封口→打码→高温杀菌→</w:t>
            </w:r>
            <w:bookmarkStart w:id="1" w:name="_GoBack"/>
            <w:bookmarkEnd w:id="1"/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成品→金属探测→商业无菌→储存→运输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7"/>
              <w:tblpPr w:leftFromText="180" w:rightFromText="180" w:vertAnchor="text" w:horzAnchor="page" w:tblpX="2401" w:tblpY="-1116"/>
              <w:tblOverlap w:val="never"/>
              <w:tblW w:w="820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114"/>
              <w:gridCol w:w="1800"/>
              <w:gridCol w:w="2550"/>
              <w:gridCol w:w="27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11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0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环节</w:t>
                  </w:r>
                </w:p>
              </w:tc>
              <w:tc>
                <w:tcPr>
                  <w:tcW w:w="255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重要的食品安全危害</w:t>
                  </w:r>
                </w:p>
              </w:tc>
              <w:tc>
                <w:tcPr>
                  <w:tcW w:w="274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11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0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原辅料验收</w:t>
                  </w:r>
                </w:p>
              </w:tc>
              <w:tc>
                <w:tcPr>
                  <w:tcW w:w="255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重金属、农残超标、微生物超标等</w:t>
                  </w:r>
                </w:p>
              </w:tc>
              <w:tc>
                <w:tcPr>
                  <w:tcW w:w="274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从合格供方采购，每年索取第三方检测报告，每批检验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11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0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配料</w:t>
                  </w:r>
                </w:p>
              </w:tc>
              <w:tc>
                <w:tcPr>
                  <w:tcW w:w="255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限量食品添加剂超标</w:t>
                  </w:r>
                </w:p>
              </w:tc>
              <w:tc>
                <w:tcPr>
                  <w:tcW w:w="274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每批复核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11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80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封口</w:t>
                  </w:r>
                </w:p>
              </w:tc>
              <w:tc>
                <w:tcPr>
                  <w:tcW w:w="255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微生物超标</w:t>
                  </w:r>
                </w:p>
              </w:tc>
              <w:tc>
                <w:tcPr>
                  <w:tcW w:w="274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封口温度时间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11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80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高温杀菌</w:t>
                  </w:r>
                </w:p>
              </w:tc>
              <w:tc>
                <w:tcPr>
                  <w:tcW w:w="255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微生物超标</w:t>
                  </w:r>
                </w:p>
              </w:tc>
              <w:tc>
                <w:tcPr>
                  <w:tcW w:w="274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杀菌压力、杀菌温度及时间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11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80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金属探测</w:t>
                  </w:r>
                </w:p>
              </w:tc>
              <w:tc>
                <w:tcPr>
                  <w:tcW w:w="255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金属异物</w:t>
                  </w:r>
                </w:p>
              </w:tc>
              <w:tc>
                <w:tcPr>
                  <w:tcW w:w="274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default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  <w:t>铁、不锈钢大小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11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5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4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11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0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550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44" w:type="dxa"/>
                </w:tcPr>
                <w:p>
                  <w:pPr>
                    <w:pStyle w:val="2"/>
                    <w:widowControl w:val="0"/>
                    <w:numPr>
                      <w:numId w:val="0"/>
                    </w:numPr>
                    <w:spacing w:before="25" w:after="25"/>
                    <w:jc w:val="both"/>
                    <w:rPr>
                      <w:rFonts w:hint="eastAsia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pStyle w:val="2"/>
              <w:widowControl w:val="0"/>
              <w:numPr>
                <w:numId w:val="0"/>
              </w:numPr>
              <w:spacing w:before="25" w:after="25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</w:rPr>
              <w:t>中华人民共和国食品安全法</w:t>
            </w:r>
            <w:r>
              <w:rPr>
                <w:rFonts w:hint="eastAsia"/>
                <w:b/>
                <w:sz w:val="20"/>
                <w:lang w:eastAsia="zh-CN"/>
              </w:rPr>
              <w:t>》、《罐头食品生产许可证审查细则》、《GB 8950-2016 食品安全国家标准  罐头食品生产卫生规范》、危害分析与关键控制点（HACCP体系）认证要求（V1.0)、《GB 7718-2011食品安全国家标准 预包装食品标签通则》、《GB 14881-2013食品安全国家标准 食品生产通用卫生规范》、《GB 4789.26-2013食品安全国家标准 食品微生物学检验 商业无菌检验》、《GB/T 1354-2018大米》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执行企业标准：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方便粥：Q/HLT0002S-2022,型式检验每年1次，检测项目包括：感官、净含量、固形物含量、商业无菌、标签、铅、真菌毒素限量、其他污染物限量、过氧化值、酸价、黄曲霉毒素B1等；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方便羹：Q/HLT0003S-2022,型式检验每年1次，检测项目包括：感官、净含量、固形物含量、商业无菌、标签、铅、真菌毒素限量、其他污染物限量、米酵菌酸等；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熟悉罐头产品生产的卫生规范要求、人员健康要求、特种设备管理等知识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176530</wp:posOffset>
                  </wp:positionV>
                  <wp:extent cx="917575" cy="429260"/>
                  <wp:effectExtent l="0" t="0" r="9525" b="2540"/>
                  <wp:wrapTight wrapText="bothSides">
                    <wp:wrapPolygon>
                      <wp:start x="15546" y="639"/>
                      <wp:lineTo x="3588" y="639"/>
                      <wp:lineTo x="1196" y="6391"/>
                      <wp:lineTo x="2990" y="20450"/>
                      <wp:lineTo x="4185" y="21089"/>
                      <wp:lineTo x="5979" y="21089"/>
                      <wp:lineTo x="18536" y="20450"/>
                      <wp:lineTo x="21226" y="18533"/>
                      <wp:lineTo x="21226" y="8947"/>
                      <wp:lineTo x="20628" y="7030"/>
                      <wp:lineTo x="17340" y="639"/>
                      <wp:lineTo x="15546" y="639"/>
                    </wp:wrapPolygon>
                  </wp:wrapTight>
                  <wp:docPr id="5" name="图片 5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2022-04-27下午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73025</wp:posOffset>
                  </wp:positionV>
                  <wp:extent cx="917575" cy="429260"/>
                  <wp:effectExtent l="0" t="0" r="9525" b="2540"/>
                  <wp:wrapTight wrapText="bothSides">
                    <wp:wrapPolygon>
                      <wp:start x="15546" y="639"/>
                      <wp:lineTo x="3588" y="639"/>
                      <wp:lineTo x="1196" y="6391"/>
                      <wp:lineTo x="2990" y="20450"/>
                      <wp:lineTo x="4185" y="21089"/>
                      <wp:lineTo x="5979" y="21089"/>
                      <wp:lineTo x="18536" y="20450"/>
                      <wp:lineTo x="21226" y="18533"/>
                      <wp:lineTo x="21226" y="8947"/>
                      <wp:lineTo x="20628" y="7030"/>
                      <wp:lineTo x="17340" y="639"/>
                      <wp:lineTo x="15546" y="639"/>
                    </wp:wrapPolygon>
                  </wp:wrapTight>
                  <wp:docPr id="6" name="图片 6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2022-04-27下午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DFD0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semiHidden/>
    <w:unhideWhenUsed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2022-05-02T14:01:06Z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