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0386-2022-FH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杭州乐途食品有限公司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2022年04月27日 上午</w:t>
            </w:r>
            <w:r>
              <w:rPr>
                <w:rFonts w:hint="eastAsia" w:ascii="宋体"/>
                <w:b/>
                <w:color w:val="000000"/>
                <w:szCs w:val="21"/>
                <w:lang w:val="en-US" w:eastAsia="zh-CN"/>
              </w:rPr>
              <w:t>8：30</w:t>
            </w:r>
            <w:r>
              <w:rPr>
                <w:rFonts w:hint="eastAsia" w:ascii="宋体"/>
                <w:b/>
                <w:color w:val="000000"/>
                <w:szCs w:val="21"/>
              </w:rPr>
              <w:t>至2022年04月27日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ISO 22000-2018 </w:t>
            </w:r>
          </w:p>
          <w:p>
            <w:pPr>
              <w:keepNext w:val="0"/>
              <w:keepLines w:val="0"/>
              <w:pageBreakBefore w:val="0"/>
              <w:kinsoku/>
              <w:wordWrap/>
              <w:overflowPunct/>
              <w:topLinePunct w:val="0"/>
              <w:autoSpaceDE/>
              <w:autoSpaceDN/>
              <w:bidi w:val="0"/>
              <w:adjustRightInd/>
              <w:spacing w:line="300" w:lineRule="exact"/>
              <w:rPr>
                <w:rFonts w:ascii="宋体" w:hAnsi="宋体"/>
                <w:b/>
                <w:sz w:val="21"/>
                <w:szCs w:val="21"/>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sz w:val="21"/>
                <w:szCs w:val="21"/>
              </w:rPr>
              <w:t>危害分析与关键控制点（HACCP）体系认证要求（V1.0）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sz w:val="21"/>
                <w:szCs w:val="21"/>
              </w:rPr>
              <w:t>浙江省杭州市萧山区红山农场团结路219号</w:t>
            </w:r>
            <w:r>
              <w:rPr>
                <w:rFonts w:hint="eastAsia"/>
                <w:sz w:val="21"/>
                <w:szCs w:val="21"/>
                <w:lang w:eastAsia="zh-CN"/>
              </w:rPr>
              <w:t>【</w:t>
            </w:r>
            <w:r>
              <w:rPr>
                <w:rFonts w:hint="eastAsia"/>
                <w:sz w:val="21"/>
                <w:szCs w:val="21"/>
                <w:lang w:val="en-US" w:eastAsia="zh-CN"/>
              </w:rPr>
              <w:t>现场+远程</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2020-N1FSMS-1232380</w:t>
            </w:r>
          </w:p>
          <w:p>
            <w:pPr>
              <w:spacing w:line="240" w:lineRule="exact"/>
              <w:jc w:val="center"/>
              <w:rPr>
                <w:b/>
                <w:color w:val="000000"/>
                <w:szCs w:val="21"/>
              </w:rPr>
            </w:pPr>
            <w:r>
              <w:rPr>
                <w:b/>
                <w:color w:val="000000"/>
                <w:szCs w:val="21"/>
              </w:rPr>
              <w:t>2020-N1HACCP-1232380</w:t>
            </w:r>
          </w:p>
        </w:tc>
        <w:tc>
          <w:tcPr>
            <w:tcW w:w="1140" w:type="dxa"/>
            <w:vAlign w:val="center"/>
          </w:tcPr>
          <w:p>
            <w:pPr>
              <w:spacing w:line="240" w:lineRule="exact"/>
              <w:jc w:val="center"/>
              <w:rPr>
                <w:b/>
                <w:color w:val="000000"/>
                <w:szCs w:val="21"/>
              </w:rPr>
            </w:pPr>
            <w:r>
              <w:rPr>
                <w:b/>
                <w:color w:val="000000"/>
                <w:szCs w:val="21"/>
              </w:rPr>
              <w:t>F:CIV-3</w:t>
            </w:r>
          </w:p>
          <w:p>
            <w:pPr>
              <w:spacing w:line="240" w:lineRule="exact"/>
              <w:jc w:val="center"/>
              <w:rPr>
                <w:b/>
                <w:color w:val="000000"/>
                <w:szCs w:val="21"/>
              </w:rPr>
            </w:pPr>
            <w:r>
              <w:rPr>
                <w:b/>
                <w:color w:val="000000"/>
                <w:szCs w:val="21"/>
              </w:rPr>
              <w:t>H:CIV-3</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任泽华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2020-N1FSMS-3059498</w:t>
            </w:r>
          </w:p>
          <w:p>
            <w:pPr>
              <w:spacing w:line="240" w:lineRule="exact"/>
              <w:jc w:val="center"/>
              <w:rPr>
                <w:b/>
                <w:color w:val="000000"/>
                <w:szCs w:val="21"/>
              </w:rPr>
            </w:pPr>
            <w:r>
              <w:rPr>
                <w:b/>
                <w:color w:val="000000"/>
                <w:szCs w:val="21"/>
              </w:rPr>
              <w:t>ISC-59498</w:t>
            </w:r>
          </w:p>
        </w:tc>
        <w:tc>
          <w:tcPr>
            <w:tcW w:w="1140" w:type="dxa"/>
            <w:vAlign w:val="center"/>
          </w:tcPr>
          <w:p>
            <w:pPr>
              <w:spacing w:line="240" w:lineRule="exact"/>
              <w:jc w:val="center"/>
              <w:rPr>
                <w:b/>
                <w:color w:val="000000"/>
                <w:szCs w:val="21"/>
              </w:rPr>
            </w:pPr>
            <w:r>
              <w:rPr>
                <w:b/>
                <w:color w:val="000000"/>
                <w:szCs w:val="21"/>
              </w:rPr>
              <w:t>F:CIV-3</w:t>
            </w:r>
          </w:p>
          <w:p>
            <w:pPr>
              <w:spacing w:line="240" w:lineRule="exact"/>
              <w:jc w:val="center"/>
              <w:rPr>
                <w:b/>
                <w:color w:val="000000"/>
                <w:szCs w:val="21"/>
              </w:rPr>
            </w:pPr>
            <w:r>
              <w:rPr>
                <w:b/>
                <w:color w:val="000000"/>
                <w:szCs w:val="21"/>
              </w:rPr>
              <w:t>H:CIV-3</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杭州乐途食品有限公司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萧山区红山农场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311200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浙江省杭州市萧山区红山农场团结路219号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朱月刚</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15257155111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陈志江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朱月刚</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sz w:val="21"/>
                <w:szCs w:val="21"/>
              </w:rPr>
              <w:t>其他罐头（八宝粥罐头、其他）的生产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eastAsia="宋体"/>
                <w:color w:val="000000"/>
                <w:szCs w:val="21"/>
                <w:lang w:val="en-US" w:eastAsia="zh-CN"/>
              </w:rPr>
            </w:pPr>
            <w:r>
              <w:rPr>
                <w:rFonts w:hint="eastAsia" w:ascii="宋体"/>
                <w:color w:val="000000"/>
                <w:szCs w:val="21"/>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keepNext w:val="0"/>
              <w:keepLines w:val="0"/>
              <w:pageBreakBefore w:val="0"/>
              <w:kinsoku/>
              <w:wordWrap/>
              <w:overflowPunct/>
              <w:topLinePunct w:val="0"/>
              <w:autoSpaceDE/>
              <w:autoSpaceDN/>
              <w:bidi w:val="0"/>
              <w:adjustRightInd/>
              <w:spacing w:line="300" w:lineRule="exact"/>
              <w:rPr>
                <w:rFonts w:ascii="宋体" w:hAnsi="宋体"/>
                <w:b/>
                <w:color w:val="000000"/>
                <w:szCs w:val="21"/>
              </w:rPr>
            </w:pPr>
            <w:bookmarkStart w:id="35" w:name="审核范围"/>
            <w:r>
              <w:rPr>
                <w:sz w:val="21"/>
                <w:szCs w:val="21"/>
              </w:rPr>
              <w:t>F：位于浙江省杭州市萧山区红山农场团结路219号杭州乐途食品有限公司生产车间的其他罐头（八宝粥罐头、其他）的生产</w:t>
            </w:r>
            <w:bookmarkEnd w:id="35"/>
          </w:p>
        </w:tc>
        <w:tc>
          <w:tcPr>
            <w:tcW w:w="2006" w:type="dxa"/>
            <w:gridSpan w:val="3"/>
            <w:vAlign w:val="center"/>
          </w:tcPr>
          <w:p>
            <w:pPr>
              <w:keepNext w:val="0"/>
              <w:keepLines w:val="0"/>
              <w:pageBreakBefore w:val="0"/>
              <w:kinsoku/>
              <w:wordWrap/>
              <w:overflowPunct/>
              <w:topLinePunct w:val="0"/>
              <w:autoSpaceDE/>
              <w:autoSpaceDN/>
              <w:bidi w:val="0"/>
              <w:adjustRightInd/>
              <w:spacing w:line="300" w:lineRule="exact"/>
              <w:rPr>
                <w:rFonts w:ascii="宋体" w:hAnsi="宋体"/>
                <w:b/>
                <w:color w:val="000000"/>
                <w:szCs w:val="21"/>
              </w:rPr>
            </w:pPr>
            <w:bookmarkStart w:id="36" w:name="专业代码"/>
            <w:r>
              <w:rPr>
                <w:sz w:val="21"/>
                <w:szCs w:val="21"/>
              </w:rPr>
              <w:t>F：CIV-3</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sz w:val="21"/>
                <w:szCs w:val="21"/>
              </w:rPr>
              <w:t>H：位于浙江省杭州市萧山区红山农场团结路219号杭州乐途食品有限公司生产车间的其他罐头（八宝粥罐头、其他）的生产</w:t>
            </w:r>
          </w:p>
        </w:tc>
        <w:tc>
          <w:tcPr>
            <w:tcW w:w="2006" w:type="dxa"/>
            <w:gridSpan w:val="3"/>
            <w:vAlign w:val="center"/>
          </w:tcPr>
          <w:p>
            <w:pPr>
              <w:spacing w:line="400" w:lineRule="exact"/>
              <w:rPr>
                <w:rFonts w:ascii="宋体" w:hAnsi="宋体"/>
                <w:b/>
                <w:color w:val="000000"/>
                <w:szCs w:val="21"/>
              </w:rPr>
            </w:pPr>
            <w:r>
              <w:rPr>
                <w:sz w:val="21"/>
                <w:szCs w:val="21"/>
              </w:rPr>
              <w:t>H：CIV-3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杭州乐途食品有限公司</w:t>
            </w:r>
          </w:p>
          <w:p>
            <w:pPr>
              <w:spacing w:before="40" w:after="40"/>
              <w:rPr>
                <w:sz w:val="21"/>
                <w:szCs w:val="21"/>
                <w:lang w:val="de-DE" w:eastAsia="ja-JP"/>
              </w:rPr>
            </w:pPr>
            <w:r>
              <w:rPr>
                <w:sz w:val="21"/>
                <w:szCs w:val="21"/>
              </w:rPr>
              <w:t>萧山区红山农场</w:t>
            </w:r>
          </w:p>
        </w:tc>
        <w:tc>
          <w:tcPr>
            <w:tcW w:w="2267" w:type="dxa"/>
          </w:tcPr>
          <w:p>
            <w:pPr>
              <w:spacing w:before="40" w:after="40"/>
              <w:rPr>
                <w:rFonts w:eastAsia="黑体"/>
                <w:szCs w:val="21"/>
                <w:lang w:val="de-DE" w:eastAsia="ja-JP"/>
              </w:rPr>
            </w:pPr>
            <w:r>
              <w:rPr>
                <w:sz w:val="21"/>
                <w:szCs w:val="21"/>
              </w:rPr>
              <w:t>浙江省杭州市萧山区红山农场团结路219号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keepNext w:val="0"/>
              <w:keepLines w:val="0"/>
              <w:pageBreakBefore w:val="0"/>
              <w:kinsoku/>
              <w:wordWrap/>
              <w:overflowPunct/>
              <w:topLinePunct w:val="0"/>
              <w:autoSpaceDE/>
              <w:autoSpaceDN/>
              <w:bidi w:val="0"/>
              <w:adjustRightInd/>
              <w:spacing w:line="300" w:lineRule="exact"/>
              <w:rPr>
                <w:sz w:val="21"/>
                <w:szCs w:val="21"/>
              </w:rPr>
            </w:pPr>
            <w:r>
              <w:rPr>
                <w:sz w:val="21"/>
                <w:szCs w:val="21"/>
              </w:rPr>
              <w:t>F：位于浙江省杭州市萧山区红山农场团结路219号杭州乐途食品有限公司生产车间的其他罐头（八宝粥罐头、其他）的生产</w:t>
            </w:r>
          </w:p>
          <w:p>
            <w:pPr>
              <w:pStyle w:val="19"/>
              <w:rPr>
                <w:rFonts w:eastAsia="黑体" w:cs="Arial"/>
                <w:sz w:val="21"/>
                <w:szCs w:val="21"/>
                <w:lang w:val="en-US" w:eastAsia="ja-JP"/>
              </w:rPr>
            </w:pPr>
            <w:r>
              <w:rPr>
                <w:sz w:val="21"/>
                <w:szCs w:val="21"/>
              </w:rPr>
              <w:t>H：位于浙江省杭州市萧山区红山农场团结路219号杭州乐途食品有限公司生产车间的其他罐头（八宝粥罐头、其他）的生产</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52"/>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eastAsia" w:ascii="宋体" w:eastAsia="宋体"/>
                <w:color w:val="000000"/>
                <w:spacing w:val="-10"/>
                <w:szCs w:val="21"/>
                <w:lang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pacing w:val="-10"/>
                <w:szCs w:val="21"/>
              </w:rPr>
              <w:t>是</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见问题清单</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hint="eastAsia" w:ascii="宋体" w:hAnsi="宋体" w:eastAsia="宋体"/>
                <w:b/>
                <w:color w:val="000000"/>
                <w:szCs w:val="21"/>
                <w:lang w:eastAsia="zh-CN"/>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r>
              <w:rPr>
                <w:rFonts w:hint="eastAsia" w:ascii="宋体" w:hAnsi="宋体"/>
                <w:b/>
                <w:color w:val="000000"/>
                <w:szCs w:val="21"/>
                <w:lang w:eastAsia="zh-CN"/>
              </w:rPr>
              <w:t>【</w:t>
            </w:r>
            <w:r>
              <w:rPr>
                <w:rFonts w:hint="eastAsia" w:ascii="宋体" w:hAnsi="宋体"/>
                <w:b/>
                <w:color w:val="000000"/>
                <w:szCs w:val="21"/>
                <w:lang w:val="en-US" w:eastAsia="zh-CN"/>
              </w:rPr>
              <w:t>转版，转机构，体系已运行多年</w:t>
            </w:r>
            <w:r>
              <w:rPr>
                <w:rFonts w:hint="eastAsia" w:ascii="宋体" w:hAnsi="宋体"/>
                <w:b/>
                <w:color w:val="000000"/>
                <w:szCs w:val="21"/>
                <w:lang w:eastAsia="zh-CN"/>
              </w:rPr>
              <w:t>】</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7</w:t>
            </w:r>
            <w:r>
              <w:rPr>
                <w:rFonts w:hint="eastAsia" w:ascii="宋体" w:hAnsi="宋体"/>
                <w:b/>
                <w:color w:val="000000"/>
                <w:szCs w:val="21"/>
                <w:u w:val="single"/>
              </w:rPr>
              <w:t>日</w:t>
            </w:r>
            <w:r>
              <w:rPr>
                <w:rFonts w:hint="eastAsia" w:ascii="宋体" w:hAnsi="宋体"/>
                <w:b/>
                <w:color w:val="000000"/>
                <w:szCs w:val="21"/>
                <w:u w:val="single"/>
                <w:lang w:val="en-US" w:eastAsia="zh-CN"/>
              </w:rPr>
              <w:t>-8日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2022年4月15日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eastAsia" w:ascii="宋体" w:hAnsi="宋体" w:eastAsia="宋体"/>
                <w:color w:val="000000"/>
                <w:szCs w:val="21"/>
                <w:highlight w:val="none"/>
                <w:lang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t>□</w:t>
            </w:r>
            <w:r>
              <w:rPr>
                <w:rFonts w:hint="eastAsia" w:ascii="宋体" w:hAnsi="宋体"/>
                <w:color w:val="000000"/>
                <w:szCs w:val="21"/>
                <w:highlight w:val="none"/>
              </w:rPr>
              <w:t>是</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lang w:eastAsia="zh-CN"/>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但个别不充分，见问题清单</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但个别不充分，见问题清单</w:t>
            </w:r>
          </w:p>
        </w:tc>
        <w:tc>
          <w:tcPr>
            <w:tcW w:w="1637" w:type="dxa"/>
            <w:shd w:val="clear" w:color="auto" w:fill="E6E0EC" w:themeFill="accent4" w:themeFillTint="32"/>
          </w:tcPr>
          <w:p>
            <w:pPr>
              <w:rPr>
                <w:rFonts w:hint="eastAsia" w:ascii="宋体" w:eastAsia="宋体"/>
                <w:color w:val="000000"/>
                <w:spacing w:val="-10"/>
                <w:szCs w:val="21"/>
                <w:lang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Theme="minorEastAsia" w:hAnsiTheme="minorEastAsia" w:eastAsiaTheme="minorEastAsia"/>
                <w:color w:val="000000"/>
                <w:spacing w:val="-10"/>
                <w:szCs w:val="21"/>
                <w:highlight w:val="yellow"/>
              </w:rPr>
            </w:pPr>
            <w:r>
              <w:rPr>
                <w:rFonts w:hint="eastAsia" w:asciiTheme="minorEastAsia" w:hAnsiTheme="minorEastAsia" w:eastAsiaTheme="minorEastAsia"/>
                <w:color w:val="000000"/>
                <w:spacing w:val="-10"/>
                <w:szCs w:val="21"/>
                <w:highlight w:val="none"/>
                <w:lang w:val="en-US" w:eastAsia="zh-CN"/>
              </w:rPr>
              <w:t>显著危害识别</w:t>
            </w:r>
          </w:p>
        </w:tc>
        <w:tc>
          <w:tcPr>
            <w:tcW w:w="4563" w:type="dxa"/>
            <w:shd w:val="clear" w:color="auto" w:fill="E6E0EC" w:themeFill="accent4" w:themeFillTint="32"/>
            <w:vAlign w:val="top"/>
          </w:tcPr>
          <w:p>
            <w:pPr>
              <w:spacing w:line="240" w:lineRule="auto"/>
              <w:rPr>
                <w:rFonts w:hint="eastAsia"/>
                <w:lang w:eastAsia="zh-CN"/>
              </w:rPr>
            </w:pPr>
            <w:r>
              <w:rPr>
                <w:rFonts w:hint="eastAsia"/>
              </w:rPr>
              <w:t>CCP</w:t>
            </w:r>
            <w:r>
              <w:t>1</w:t>
            </w:r>
            <w:r>
              <w:rPr>
                <w:rFonts w:hint="eastAsia"/>
                <w:lang w:eastAsia="zh-CN"/>
              </w:rPr>
              <w:t>：</w:t>
            </w:r>
            <w:r>
              <w:rPr>
                <w:rFonts w:hint="eastAsia"/>
              </w:rPr>
              <w:t>浆料配料</w:t>
            </w:r>
            <w:r>
              <w:rPr>
                <w:rFonts w:hint="eastAsia"/>
                <w:lang w:eastAsia="zh-CN"/>
              </w:rPr>
              <w:t>；</w:t>
            </w:r>
          </w:p>
          <w:p>
            <w:pPr>
              <w:spacing w:line="240" w:lineRule="auto"/>
              <w:rPr>
                <w:rFonts w:hint="eastAsia"/>
                <w:lang w:eastAsia="zh-CN"/>
              </w:rPr>
            </w:pPr>
            <w:r>
              <w:rPr>
                <w:rFonts w:hint="eastAsia"/>
              </w:rPr>
              <w:t>CCP</w:t>
            </w:r>
            <w:r>
              <w:t>2</w:t>
            </w:r>
            <w:r>
              <w:rPr>
                <w:rFonts w:hint="eastAsia"/>
                <w:lang w:eastAsia="zh-CN"/>
              </w:rPr>
              <w:t>：</w:t>
            </w:r>
            <w:r>
              <w:rPr>
                <w:rFonts w:hint="eastAsia"/>
              </w:rPr>
              <w:t>高温杀菌</w:t>
            </w:r>
            <w:r>
              <w:rPr>
                <w:rFonts w:hint="eastAsia"/>
                <w:lang w:eastAsia="zh-CN"/>
              </w:rPr>
              <w:t>；</w:t>
            </w:r>
          </w:p>
          <w:p>
            <w:pPr>
              <w:pStyle w:val="2"/>
              <w:spacing w:line="360" w:lineRule="auto"/>
              <w:rPr>
                <w:rFonts w:hint="eastAsia" w:ascii="Times New Roman" w:hAnsi="Times New Roman" w:eastAsia="宋体" w:cs="Times New Roman"/>
                <w:lang w:eastAsia="zh-CN"/>
              </w:rPr>
            </w:pPr>
            <w:r>
              <w:rPr>
                <w:rFonts w:hint="eastAsia" w:ascii="Times New Roman" w:hAnsi="Times New Roman" w:eastAsia="宋体" w:cs="Times New Roman"/>
              </w:rPr>
              <w:t>CCP</w:t>
            </w:r>
            <w:r>
              <w:rPr>
                <w:rFonts w:ascii="Times New Roman" w:hAnsi="Times New Roman" w:eastAsia="宋体" w:cs="Times New Roman"/>
              </w:rPr>
              <w:t>3</w:t>
            </w:r>
            <w:r>
              <w:rPr>
                <w:rFonts w:hint="eastAsia" w:cs="Times New Roman"/>
                <w:lang w:eastAsia="zh-CN"/>
              </w:rPr>
              <w:t>：</w:t>
            </w:r>
            <w:r>
              <w:rPr>
                <w:rFonts w:hint="eastAsia" w:ascii="Times New Roman" w:hAnsi="Times New Roman" w:eastAsia="宋体" w:cs="Times New Roman"/>
              </w:rPr>
              <w:t>金属探测</w:t>
            </w:r>
            <w:r>
              <w:rPr>
                <w:rFonts w:hint="eastAsia" w:ascii="Times New Roman" w:hAnsi="Times New Roman" w:eastAsia="宋体" w:cs="Times New Roman"/>
                <w:lang w:eastAsia="zh-CN"/>
              </w:rPr>
              <w:t>；</w:t>
            </w:r>
          </w:p>
          <w:p>
            <w:pPr>
              <w:pStyle w:val="2"/>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原料验收OPRP1-1粮食类；</w:t>
            </w:r>
          </w:p>
          <w:p>
            <w:pPr>
              <w:pStyle w:val="2"/>
              <w:spacing w:line="360" w:lineRule="auto"/>
              <w:rPr>
                <w:rFonts w:hint="eastAsia" w:cs="Times New Roman"/>
                <w:color w:val="000000"/>
                <w:szCs w:val="21"/>
                <w:lang w:eastAsia="zh-CN"/>
              </w:rPr>
            </w:pPr>
            <w:r>
              <w:rPr>
                <w:rFonts w:hint="eastAsia" w:ascii="Times New Roman" w:hAnsi="Times New Roman" w:eastAsia="宋体" w:cs="Times New Roman"/>
                <w:color w:val="000000"/>
                <w:szCs w:val="21"/>
              </w:rPr>
              <w:t>原料验收OPRP1-</w:t>
            </w: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辅料类</w:t>
            </w:r>
            <w:r>
              <w:rPr>
                <w:rFonts w:hint="eastAsia" w:cs="Times New Roman"/>
                <w:color w:val="000000"/>
                <w:szCs w:val="21"/>
                <w:lang w:eastAsia="zh-CN"/>
              </w:rPr>
              <w:t>；</w:t>
            </w:r>
          </w:p>
          <w:p>
            <w:pPr>
              <w:pStyle w:val="2"/>
              <w:spacing w:line="360" w:lineRule="auto"/>
              <w:rPr>
                <w:rFonts w:hint="eastAsia" w:cs="Times New Roman"/>
                <w:color w:val="000000"/>
                <w:szCs w:val="21"/>
                <w:lang w:eastAsia="zh-CN"/>
              </w:rPr>
            </w:pPr>
            <w:r>
              <w:rPr>
                <w:rFonts w:hint="eastAsia" w:ascii="Times New Roman" w:hAnsi="Times New Roman" w:eastAsia="宋体" w:cs="Times New Roman"/>
                <w:color w:val="000000"/>
                <w:szCs w:val="21"/>
              </w:rPr>
              <w:t>原料验收OPRP1-</w:t>
            </w:r>
            <w:r>
              <w:rPr>
                <w:rFonts w:ascii="Times New Roman" w:hAnsi="Times New Roman" w:eastAsia="宋体" w:cs="Times New Roman"/>
                <w:color w:val="000000"/>
                <w:szCs w:val="21"/>
              </w:rPr>
              <w:t xml:space="preserve">3 </w:t>
            </w:r>
            <w:r>
              <w:rPr>
                <w:rFonts w:hint="eastAsia" w:ascii="Times New Roman" w:hAnsi="Times New Roman" w:eastAsia="宋体" w:cs="Times New Roman"/>
                <w:color w:val="000000"/>
                <w:szCs w:val="21"/>
              </w:rPr>
              <w:t>包材类</w:t>
            </w:r>
            <w:r>
              <w:rPr>
                <w:rFonts w:hint="eastAsia" w:cs="Times New Roman"/>
                <w:color w:val="000000"/>
                <w:szCs w:val="21"/>
                <w:lang w:eastAsia="zh-CN"/>
              </w:rPr>
              <w:t>；</w:t>
            </w:r>
          </w:p>
          <w:p>
            <w:pPr>
              <w:pStyle w:val="2"/>
              <w:spacing w:line="360" w:lineRule="auto"/>
              <w:rPr>
                <w:rFonts w:hint="eastAsia" w:cs="Times New Roman"/>
                <w:color w:val="000000"/>
                <w:szCs w:val="21"/>
                <w:lang w:eastAsia="zh-CN"/>
              </w:rPr>
            </w:pPr>
            <w:r>
              <w:rPr>
                <w:rFonts w:hint="eastAsia" w:ascii="Times New Roman" w:hAnsi="Times New Roman" w:eastAsia="宋体" w:cs="Times New Roman"/>
                <w:color w:val="000000"/>
                <w:szCs w:val="21"/>
              </w:rPr>
              <w:t>包装材料消毒OPRP</w:t>
            </w:r>
            <w:r>
              <w:rPr>
                <w:rFonts w:ascii="Times New Roman" w:hAnsi="Times New Roman" w:eastAsia="宋体" w:cs="Times New Roman"/>
                <w:color w:val="000000"/>
                <w:szCs w:val="21"/>
              </w:rPr>
              <w:t>2</w:t>
            </w:r>
            <w:r>
              <w:rPr>
                <w:rFonts w:hint="eastAsia" w:cs="Times New Roman"/>
                <w:color w:val="000000"/>
                <w:szCs w:val="21"/>
                <w:lang w:eastAsia="zh-CN"/>
              </w:rPr>
              <w:t>；</w:t>
            </w:r>
          </w:p>
          <w:p>
            <w:pPr>
              <w:pStyle w:val="2"/>
              <w:spacing w:line="360" w:lineRule="auto"/>
              <w:rPr>
                <w:rFonts w:hint="eastAsia" w:cs="Times New Roman"/>
                <w:color w:val="000000"/>
                <w:szCs w:val="21"/>
                <w:lang w:val="en-US" w:eastAsia="zh-CN"/>
              </w:rPr>
            </w:pPr>
            <w:r>
              <w:rPr>
                <w:rFonts w:hint="eastAsia" w:ascii="Times New Roman" w:hAnsi="Times New Roman" w:eastAsia="宋体" w:cs="Times New Roman"/>
                <w:color w:val="000000"/>
                <w:szCs w:val="21"/>
              </w:rPr>
              <w:t>封口OPRP</w:t>
            </w:r>
            <w:r>
              <w:rPr>
                <w:rFonts w:ascii="Times New Roman" w:hAnsi="Times New Roman" w:eastAsia="宋体" w:cs="Times New Roman"/>
                <w:color w:val="000000"/>
                <w:szCs w:val="21"/>
              </w:rPr>
              <w:t>3</w:t>
            </w:r>
          </w:p>
        </w:tc>
        <w:tc>
          <w:tcPr>
            <w:tcW w:w="1063"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hint="eastAsia" w:asciiTheme="minorEastAsia" w:hAnsiTheme="minorEastAsia" w:eastAsiaTheme="minorEastAsia"/>
                <w:color w:val="000000"/>
                <w:spacing w:val="-10"/>
                <w:szCs w:val="21"/>
                <w:highlight w:val="yellow"/>
                <w:lang w:val="en-US" w:eastAsia="zh-CN"/>
              </w:rPr>
            </w:pPr>
            <w:r>
              <w:rPr>
                <w:rFonts w:hint="eastAsia" w:asciiTheme="minorEastAsia" w:hAnsiTheme="minorEastAsia" w:eastAsiaTheme="minorEastAsia"/>
                <w:color w:val="000000"/>
                <w:szCs w:val="21"/>
                <w:highlight w:val="none"/>
              </w:rPr>
              <w:t>关键限值（CL）</w:t>
            </w:r>
            <w:r>
              <w:rPr>
                <w:rFonts w:hint="eastAsia" w:asciiTheme="minorEastAsia" w:hAnsiTheme="minorEastAsia" w:eastAsiaTheme="minorEastAsia"/>
                <w:color w:val="000000"/>
                <w:spacing w:val="-10"/>
                <w:szCs w:val="21"/>
                <w:highlight w:val="none"/>
                <w:lang w:val="en-US" w:eastAsia="zh-CN"/>
              </w:rPr>
              <w:t>/行动准则的识别</w:t>
            </w:r>
          </w:p>
        </w:tc>
        <w:tc>
          <w:tcPr>
            <w:tcW w:w="4563" w:type="dxa"/>
            <w:shd w:val="clear" w:color="auto" w:fill="E6E0EC" w:themeFill="accent4" w:themeFillTint="32"/>
            <w:vAlign w:val="top"/>
          </w:tcPr>
          <w:p>
            <w:pPr>
              <w:pStyle w:val="2"/>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CCP1-CL:安赛蜜≤0.3g/kg,三氯蔗糖≤0.25g/kg,</w:t>
            </w:r>
          </w:p>
          <w:p>
            <w:pPr>
              <w:pStyle w:val="2"/>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β-胡萝卜素≤1.0g/kg，复配增稠剂（德尚）≤2.5g/kg；</w:t>
            </w:r>
          </w:p>
          <w:p>
            <w:pPr>
              <w:pStyle w:val="2"/>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CCP2-CL：压力0.2±0.01MPa，温度121±0.4℃，时间40-45分钟，（银耳羹杀菌时间为30-35分钟）；</w:t>
            </w:r>
          </w:p>
          <w:p>
            <w:pPr>
              <w:pStyle w:val="2"/>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CCP3-CL：FeФ≤4.0mm,SUSФ≤4.5mm</w:t>
            </w:r>
          </w:p>
          <w:p>
            <w:pPr>
              <w:pStyle w:val="2"/>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原料验收OPRP1-1粮食类——行动准则：</w:t>
            </w:r>
            <w:r>
              <w:rPr>
                <w:rFonts w:hint="eastAsia" w:ascii="Times New Roman" w:hAnsi="Times New Roman" w:eastAsia="宋体" w:cs="Times New Roman"/>
                <w:color w:val="000000"/>
                <w:szCs w:val="21"/>
              </w:rPr>
              <w:t>提供每批次合格证、符合卫生标准第三方检测合格报告、进货检验</w:t>
            </w:r>
            <w:r>
              <w:rPr>
                <w:rFonts w:hint="eastAsia" w:cs="Times New Roman"/>
                <w:color w:val="000000"/>
                <w:szCs w:val="21"/>
                <w:lang w:eastAsia="zh-CN"/>
              </w:rPr>
              <w:t>；</w:t>
            </w:r>
          </w:p>
          <w:p>
            <w:pPr>
              <w:pStyle w:val="2"/>
              <w:spacing w:line="360" w:lineRule="auto"/>
              <w:rPr>
                <w:rFonts w:hint="eastAsia" w:cs="Times New Roman"/>
                <w:color w:val="000000"/>
                <w:szCs w:val="21"/>
                <w:lang w:eastAsia="zh-CN"/>
              </w:rPr>
            </w:pPr>
            <w:r>
              <w:rPr>
                <w:rFonts w:hint="eastAsia" w:ascii="Times New Roman" w:hAnsi="Times New Roman" w:eastAsia="宋体" w:cs="Times New Roman"/>
                <w:color w:val="000000"/>
                <w:szCs w:val="21"/>
              </w:rPr>
              <w:t>原料验收OPRP1-</w:t>
            </w: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辅料类</w:t>
            </w:r>
            <w:r>
              <w:rPr>
                <w:rFonts w:hint="eastAsia" w:cs="Times New Roman"/>
                <w:color w:val="000000"/>
                <w:szCs w:val="21"/>
                <w:lang w:eastAsia="zh-CN"/>
              </w:rPr>
              <w:t>——</w:t>
            </w:r>
            <w:r>
              <w:rPr>
                <w:rFonts w:hint="eastAsia" w:ascii="Times New Roman" w:hAnsi="Times New Roman" w:eastAsia="宋体" w:cs="Times New Roman"/>
                <w:lang w:val="en-US" w:eastAsia="zh-CN"/>
              </w:rPr>
              <w:t>行动准则：</w:t>
            </w:r>
            <w:r>
              <w:rPr>
                <w:rFonts w:hint="eastAsia" w:ascii="Times New Roman" w:hAnsi="Times New Roman" w:eastAsia="宋体" w:cs="Times New Roman"/>
                <w:color w:val="000000"/>
                <w:szCs w:val="21"/>
              </w:rPr>
              <w:t>提供每批次合格证、符合卫生标准第三方检测合格报告、进货检验</w:t>
            </w:r>
            <w:r>
              <w:rPr>
                <w:rFonts w:hint="eastAsia" w:cs="Times New Roman"/>
                <w:color w:val="000000"/>
                <w:szCs w:val="21"/>
                <w:lang w:eastAsia="zh-CN"/>
              </w:rPr>
              <w:t>；</w:t>
            </w:r>
          </w:p>
          <w:p>
            <w:pPr>
              <w:pStyle w:val="2"/>
              <w:spacing w:line="360" w:lineRule="auto"/>
              <w:rPr>
                <w:rFonts w:hint="eastAsia" w:cs="Times New Roman"/>
                <w:color w:val="000000"/>
                <w:szCs w:val="21"/>
                <w:lang w:eastAsia="zh-CN"/>
              </w:rPr>
            </w:pPr>
            <w:r>
              <w:rPr>
                <w:rFonts w:hint="eastAsia" w:ascii="Times New Roman" w:hAnsi="Times New Roman" w:eastAsia="宋体" w:cs="Times New Roman"/>
                <w:color w:val="000000"/>
                <w:szCs w:val="21"/>
              </w:rPr>
              <w:t>原料验收OPRP1-</w:t>
            </w:r>
            <w:r>
              <w:rPr>
                <w:rFonts w:ascii="Times New Roman" w:hAnsi="Times New Roman" w:eastAsia="宋体" w:cs="Times New Roman"/>
                <w:color w:val="000000"/>
                <w:szCs w:val="21"/>
              </w:rPr>
              <w:t xml:space="preserve">3 </w:t>
            </w:r>
            <w:r>
              <w:rPr>
                <w:rFonts w:hint="eastAsia" w:ascii="Times New Roman" w:hAnsi="Times New Roman" w:eastAsia="宋体" w:cs="Times New Roman"/>
                <w:color w:val="000000"/>
                <w:szCs w:val="21"/>
              </w:rPr>
              <w:t>包材类</w:t>
            </w:r>
            <w:r>
              <w:rPr>
                <w:rFonts w:hint="eastAsia" w:cs="Times New Roman"/>
                <w:color w:val="000000"/>
                <w:szCs w:val="21"/>
                <w:lang w:eastAsia="zh-CN"/>
              </w:rPr>
              <w:t>——</w:t>
            </w:r>
            <w:r>
              <w:rPr>
                <w:rFonts w:hint="eastAsia" w:ascii="Times New Roman" w:hAnsi="Times New Roman" w:eastAsia="宋体" w:cs="Times New Roman"/>
                <w:lang w:val="en-US" w:eastAsia="zh-CN"/>
              </w:rPr>
              <w:t>行动准则：</w:t>
            </w:r>
            <w:r>
              <w:rPr>
                <w:rFonts w:hint="eastAsia" w:ascii="Times New Roman" w:hAnsi="Times New Roman" w:eastAsia="宋体" w:cs="Times New Roman"/>
                <w:color w:val="000000"/>
                <w:szCs w:val="21"/>
              </w:rPr>
              <w:t>提供每批次合格证、符合卫生标准第三方检测合格报告、进货检验</w:t>
            </w:r>
            <w:r>
              <w:rPr>
                <w:rFonts w:hint="eastAsia" w:cs="Times New Roman"/>
                <w:color w:val="000000"/>
                <w:szCs w:val="21"/>
                <w:lang w:eastAsia="zh-CN"/>
              </w:rPr>
              <w:t>；</w:t>
            </w:r>
          </w:p>
          <w:p>
            <w:pPr>
              <w:pStyle w:val="2"/>
              <w:spacing w:line="360" w:lineRule="auto"/>
              <w:rPr>
                <w:rFonts w:hint="eastAsia" w:cs="Times New Roman"/>
                <w:color w:val="000000"/>
                <w:szCs w:val="21"/>
                <w:lang w:eastAsia="zh-CN"/>
              </w:rPr>
            </w:pPr>
            <w:r>
              <w:rPr>
                <w:rFonts w:hint="eastAsia" w:ascii="Times New Roman" w:hAnsi="Times New Roman" w:eastAsia="宋体" w:cs="Times New Roman"/>
                <w:color w:val="000000"/>
                <w:szCs w:val="21"/>
              </w:rPr>
              <w:t>包装材料消毒OPRP</w:t>
            </w:r>
            <w:r>
              <w:rPr>
                <w:rFonts w:ascii="Times New Roman" w:hAnsi="Times New Roman" w:eastAsia="宋体" w:cs="Times New Roman"/>
                <w:color w:val="000000"/>
                <w:szCs w:val="21"/>
              </w:rPr>
              <w:t>2</w:t>
            </w:r>
            <w:r>
              <w:rPr>
                <w:rFonts w:hint="eastAsia" w:cs="Times New Roman"/>
                <w:color w:val="000000"/>
                <w:szCs w:val="21"/>
                <w:lang w:eastAsia="zh-CN"/>
              </w:rPr>
              <w:t>——</w:t>
            </w:r>
            <w:r>
              <w:rPr>
                <w:rFonts w:hint="eastAsia" w:ascii="Times New Roman" w:hAnsi="Times New Roman" w:eastAsia="宋体" w:cs="Times New Roman"/>
                <w:lang w:val="en-US" w:eastAsia="zh-CN"/>
              </w:rPr>
              <w:t>行动准则：</w:t>
            </w:r>
            <w:r>
              <w:rPr>
                <w:rFonts w:hint="eastAsia" w:ascii="Times New Roman" w:hAnsi="Times New Roman" w:eastAsia="宋体" w:cs="Times New Roman"/>
                <w:color w:val="000000"/>
                <w:szCs w:val="21"/>
              </w:rPr>
              <w:t>对包装材料及封口膜用紫外灯消毒不少于3</w:t>
            </w:r>
            <w:r>
              <w:rPr>
                <w:rFonts w:ascii="Times New Roman" w:hAnsi="Times New Roman" w:eastAsia="宋体" w:cs="Times New Roman"/>
                <w:color w:val="000000"/>
                <w:szCs w:val="21"/>
              </w:rPr>
              <w:t>0</w:t>
            </w:r>
            <w:r>
              <w:rPr>
                <w:rFonts w:hint="eastAsia" w:ascii="Times New Roman" w:hAnsi="Times New Roman" w:eastAsia="宋体" w:cs="Times New Roman"/>
                <w:color w:val="000000"/>
                <w:szCs w:val="21"/>
              </w:rPr>
              <w:t>分钟。</w:t>
            </w:r>
          </w:p>
          <w:p>
            <w:pPr>
              <w:pStyle w:val="2"/>
              <w:rPr>
                <w:rFonts w:hint="default" w:eastAsia="宋体" w:cs="Times New Roman" w:asciiTheme="minorEastAsia" w:hAnsiTheme="minorEastAsia"/>
                <w:color w:val="000000"/>
                <w:spacing w:val="-10"/>
                <w:kern w:val="2"/>
                <w:sz w:val="21"/>
                <w:szCs w:val="21"/>
                <w:highlight w:val="yellow"/>
                <w:lang w:val="en-US" w:eastAsia="zh-CN" w:bidi="ar-SA"/>
              </w:rPr>
            </w:pPr>
            <w:r>
              <w:rPr>
                <w:rFonts w:hint="eastAsia" w:ascii="Times New Roman" w:hAnsi="Times New Roman" w:eastAsia="宋体" w:cs="Times New Roman"/>
                <w:color w:val="000000"/>
                <w:szCs w:val="21"/>
              </w:rPr>
              <w:t>封口OPRP</w:t>
            </w:r>
            <w:r>
              <w:rPr>
                <w:rFonts w:ascii="Times New Roman" w:hAnsi="Times New Roman" w:eastAsia="宋体" w:cs="Times New Roman"/>
                <w:color w:val="000000"/>
                <w:szCs w:val="21"/>
              </w:rPr>
              <w:t>3</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行动准则：</w:t>
            </w:r>
            <w:r>
              <w:rPr>
                <w:rFonts w:hint="eastAsia" w:ascii="Times New Roman" w:hAnsi="Times New Roman" w:eastAsia="宋体" w:cs="Times New Roman"/>
                <w:color w:val="000000"/>
                <w:szCs w:val="21"/>
              </w:rPr>
              <w:t>每批次包装控制在热封温度1为160-220℃、热封温度2为160-220℃.</w:t>
            </w:r>
          </w:p>
        </w:tc>
        <w:tc>
          <w:tcPr>
            <w:tcW w:w="1063" w:type="dxa"/>
            <w:shd w:val="clear" w:color="auto" w:fill="E6E0EC" w:themeFill="accent4"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563" w:type="dxa"/>
            <w:shd w:val="clear" w:color="auto" w:fill="E6E0EC" w:themeFill="accent4" w:themeFillTint="32"/>
          </w:tcPr>
          <w:p>
            <w:pPr>
              <w:rPr>
                <w:rFonts w:hint="eastAsia" w:ascii="宋体" w:eastAsia="宋体"/>
                <w:color w:val="FF0000"/>
                <w:spacing w:val="-10"/>
                <w:szCs w:val="21"/>
                <w:highlight w:val="none"/>
                <w:lang w:eastAsia="zh-CN"/>
              </w:rPr>
            </w:pPr>
            <w:r>
              <w:rPr>
                <w:rFonts w:hint="eastAsia" w:ascii="宋体" w:eastAsia="宋体"/>
                <w:color w:val="auto"/>
                <w:spacing w:val="-10"/>
                <w:szCs w:val="21"/>
                <w:highlight w:val="none"/>
                <w:lang w:eastAsia="zh-CN"/>
              </w:rPr>
              <w:t>运输过程、虫害控制过程；均按照采购控制要求执行；</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563"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增稠剂、调味剂、食用香精、抗氧化剂、酸度调节剂、调味剂</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zCs w:val="21"/>
                <w:highlight w:val="none"/>
              </w:rPr>
              <w:t>基础设施管理</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 xml:space="preserve">是否满足生产/服务的需要且完好运行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lang w:eastAsia="zh-CN"/>
              </w:rPr>
              <w:sym w:font="Wingdings 2" w:char="0052"/>
            </w:r>
            <w:r>
              <w:rPr>
                <w:rFonts w:hint="eastAsia" w:ascii="宋体" w:hAnsi="宋体"/>
                <w:color w:val="000000"/>
                <w:szCs w:val="21"/>
                <w:highlight w:val="none"/>
              </w:rPr>
              <w:t>是</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但不充分，见问题清单</w:t>
            </w:r>
            <w:r>
              <w:rPr>
                <w:rFonts w:hint="eastAsia" w:ascii="宋体" w:hAnsi="宋体"/>
                <w:color w:val="000000"/>
                <w:szCs w:val="21"/>
                <w:highlight w:val="none"/>
              </w:rPr>
              <w:t xml:space="preserve">     </w:t>
            </w:r>
          </w:p>
        </w:tc>
        <w:tc>
          <w:tcPr>
            <w:tcW w:w="1637" w:type="dxa"/>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auto"/>
                <w:szCs w:val="21"/>
                <w:highlight w:val="none"/>
              </w:rPr>
              <w:sym w:font="Wingdings 2" w:char="00A3"/>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是否按法规要求检测和备案要且完好运行</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lang w:eastAsia="zh-CN"/>
              </w:rPr>
              <w:sym w:font="Wingdings 2" w:char="0052"/>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563" w:type="dxa"/>
            <w:shd w:val="clear" w:color="auto" w:fill="E6E0EC" w:themeFill="accent4"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E6E0EC" w:themeFill="accent4" w:themeFillTint="32"/>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eastAsia="zh-CN"/>
              </w:rPr>
              <w:sym w:font="Wingdings 2" w:char="0052"/>
            </w:r>
            <w:r>
              <w:rPr>
                <w:rFonts w:hint="eastAsia" w:ascii="宋体" w:hAnsi="宋体"/>
                <w:color w:val="000000"/>
                <w:szCs w:val="21"/>
                <w:highlight w:val="none"/>
              </w:rPr>
              <w:t xml:space="preserve">是     </w:t>
            </w:r>
          </w:p>
        </w:tc>
        <w:tc>
          <w:tcPr>
            <w:tcW w:w="1637" w:type="dxa"/>
            <w:shd w:val="clear" w:color="auto" w:fill="E6E0EC" w:themeFill="accent4" w:themeFillTint="32"/>
            <w:vAlign w:val="top"/>
          </w:tcPr>
          <w:p>
            <w:pPr>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hint="eastAsia" w:ascii="宋体" w:eastAsia="宋体"/>
                <w:color w:val="000000"/>
                <w:szCs w:val="21"/>
                <w:highlight w:val="none"/>
                <w:lang w:eastAsia="zh-CN"/>
              </w:rPr>
            </w:pPr>
            <w:r>
              <w:rPr>
                <w:rFonts w:hint="eastAsia" w:ascii="宋体" w:hAnsi="宋体"/>
                <w:color w:val="000000"/>
                <w:szCs w:val="21"/>
                <w:highlight w:val="none"/>
              </w:rPr>
              <w:t>满足</w:t>
            </w:r>
            <w:r>
              <w:rPr>
                <w:rFonts w:hint="eastAsia" w:ascii="宋体" w:hAnsi="宋体"/>
                <w:color w:val="000000"/>
                <w:spacing w:val="-10"/>
                <w:szCs w:val="21"/>
                <w:highlight w:val="none"/>
              </w:rPr>
              <w:t>生产/服务</w:t>
            </w:r>
            <w:r>
              <w:rPr>
                <w:rFonts w:hint="eastAsia" w:ascii="宋体" w:hAnsi="宋体"/>
                <w:color w:val="000000"/>
                <w:szCs w:val="21"/>
                <w:highlight w:val="none"/>
              </w:rPr>
              <w:t>所需</w:t>
            </w:r>
            <w:r>
              <w:rPr>
                <w:rFonts w:hint="eastAsia" w:ascii="宋体" w:hAnsi="宋体"/>
                <w:color w:val="000000"/>
                <w:szCs w:val="21"/>
                <w:highlight w:val="none"/>
                <w:lang w:val="en-US" w:eastAsia="zh-CN"/>
              </w:rPr>
              <w:t>条件</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 xml:space="preserve">是否满足生产/服务食品安全的需要               </w:t>
            </w:r>
          </w:p>
        </w:tc>
        <w:tc>
          <w:tcPr>
            <w:tcW w:w="1063" w:type="dxa"/>
            <w:shd w:val="clear" w:color="auto" w:fill="E6E0EC" w:themeFill="accent4" w:themeFillTint="32"/>
            <w:vAlign w:val="top"/>
          </w:tcPr>
          <w:p>
            <w:pPr>
              <w:rPr>
                <w:rFonts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lang w:eastAsia="zh-CN"/>
              </w:rPr>
              <w:sym w:font="Wingdings 2" w:char="0052"/>
            </w:r>
            <w:r>
              <w:rPr>
                <w:rFonts w:hint="eastAsia" w:ascii="宋体" w:hAnsi="宋体"/>
                <w:color w:val="000000"/>
                <w:szCs w:val="21"/>
                <w:highlight w:val="none"/>
              </w:rPr>
              <w:t>是</w:t>
            </w:r>
            <w:r>
              <w:rPr>
                <w:rFonts w:hint="eastAsia" w:ascii="宋体" w:hAnsi="宋体"/>
                <w:color w:val="FF0000"/>
                <w:szCs w:val="21"/>
                <w:highlight w:val="none"/>
                <w:lang w:eastAsia="zh-CN"/>
              </w:rPr>
              <w:t>，</w:t>
            </w:r>
            <w:r>
              <w:rPr>
                <w:rFonts w:hint="eastAsia" w:ascii="宋体" w:hAnsi="宋体"/>
                <w:color w:val="FF0000"/>
                <w:szCs w:val="21"/>
                <w:highlight w:val="none"/>
                <w:lang w:val="en-US" w:eastAsia="zh-CN"/>
              </w:rPr>
              <w:t>但不充分，见问题清单</w:t>
            </w:r>
            <w:r>
              <w:rPr>
                <w:rFonts w:hint="eastAsia" w:ascii="宋体" w:hAnsi="宋体"/>
                <w:color w:val="000000"/>
                <w:szCs w:val="21"/>
                <w:highlight w:val="none"/>
              </w:rPr>
              <w:t xml:space="preserve">     </w:t>
            </w:r>
          </w:p>
        </w:tc>
        <w:tc>
          <w:tcPr>
            <w:tcW w:w="1637" w:type="dxa"/>
            <w:shd w:val="clear" w:color="auto" w:fill="E6E0EC" w:themeFill="accent4" w:themeFillTint="32"/>
            <w:vAlign w:val="top"/>
          </w:tcPr>
          <w:p>
            <w:pPr>
              <w:rPr>
                <w:rFonts w:hint="default" w:ascii="宋体" w:hAnsi="宋体" w:eastAsia="宋体" w:cs="Times New Roman"/>
                <w:color w:val="000000"/>
                <w:kern w:val="2"/>
                <w:sz w:val="21"/>
                <w:szCs w:val="21"/>
                <w:highlight w:val="none"/>
                <w:lang w:val="en-US" w:eastAsia="zh-CN" w:bidi="ar-SA"/>
              </w:rPr>
            </w:pPr>
            <w:r>
              <w:rPr>
                <w:rFonts w:hint="eastAsia" w:ascii="宋体" w:hAnsi="宋体"/>
                <w:color w:val="auto"/>
                <w:szCs w:val="21"/>
                <w:highlight w:val="none"/>
              </w:rPr>
              <w:sym w:font="Wingdings 2" w:char="00A3"/>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highlight w:val="none"/>
              </w:rPr>
            </w:pPr>
            <w:r>
              <w:rPr>
                <w:rFonts w:hint="eastAsia" w:ascii="宋体" w:hAnsi="宋体"/>
                <w:color w:val="000000"/>
                <w:szCs w:val="21"/>
                <w:highlight w:val="none"/>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52"/>
            </w:r>
            <w:r>
              <w:rPr>
                <w:rFonts w:hint="eastAsia" w:ascii="宋体" w:hAnsi="宋体"/>
                <w:color w:val="000000"/>
                <w:spacing w:val="-10"/>
                <w:szCs w:val="21"/>
                <w:highlight w:val="none"/>
              </w:rPr>
              <w:t xml:space="preserve"> 产品食品安全标准                          </w:t>
            </w:r>
          </w:p>
        </w:tc>
        <w:tc>
          <w:tcPr>
            <w:tcW w:w="10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52"/>
            </w:r>
            <w:r>
              <w:rPr>
                <w:rFonts w:hint="eastAsia" w:ascii="宋体" w:hAnsi="宋体"/>
                <w:color w:val="000000"/>
                <w:szCs w:val="21"/>
                <w:highlight w:val="none"/>
              </w:rPr>
              <w:t>正确</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highlight w:val="none"/>
              </w:rPr>
            </w:pPr>
          </w:p>
        </w:tc>
        <w:tc>
          <w:tcPr>
            <w:tcW w:w="456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 xml:space="preserve">☑ 技术要求（合同）                  </w:t>
            </w:r>
          </w:p>
        </w:tc>
        <w:tc>
          <w:tcPr>
            <w:tcW w:w="1063"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highlight w:val="none"/>
              </w:rPr>
            </w:pPr>
          </w:p>
        </w:tc>
        <w:tc>
          <w:tcPr>
            <w:tcW w:w="4563"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 xml:space="preserve">☑ </w:t>
            </w:r>
            <w:r>
              <w:rPr>
                <w:rFonts w:hint="eastAsia" w:ascii="宋体" w:hAnsi="宋体"/>
                <w:bCs/>
                <w:sz w:val="20"/>
                <w:highlight w:val="none"/>
                <w:lang w:val="en-GB"/>
              </w:rPr>
              <w:t>产品安全性验证证据是否齐全</w:t>
            </w:r>
            <w:r>
              <w:rPr>
                <w:rFonts w:hint="eastAsia" w:ascii="宋体"/>
                <w:color w:val="000000"/>
                <w:szCs w:val="21"/>
                <w:highlight w:val="none"/>
              </w:rPr>
              <w:t xml:space="preserve">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lang w:eastAsia="zh-CN"/>
              </w:rPr>
              <w:sym w:font="Wingdings 2" w:char="0052"/>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FF0000"/>
                <w:szCs w:val="21"/>
                <w:highlight w:val="none"/>
              </w:rPr>
              <w:sym w:font="Wingdings 2" w:char="00A3"/>
            </w:r>
            <w:r>
              <w:rPr>
                <w:rFonts w:hint="eastAsia" w:ascii="宋体" w:hAnsi="宋体"/>
                <w:color w:val="FF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highlight w:val="none"/>
              </w:rPr>
            </w:pPr>
            <w:r>
              <w:rPr>
                <w:rFonts w:hint="eastAsia" w:ascii="宋体"/>
                <w:color w:val="000000"/>
                <w:spacing w:val="-10"/>
                <w:szCs w:val="21"/>
                <w:highlight w:val="none"/>
              </w:rPr>
              <w:t>市场抽查及食品安全事故</w:t>
            </w: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zCs w:val="21"/>
                <w:highlight w:val="none"/>
              </w:rPr>
              <w:t xml:space="preserve">是否受到行政主管部门的处罚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highlight w:val="none"/>
              </w:rPr>
            </w:pPr>
          </w:p>
        </w:tc>
        <w:tc>
          <w:tcPr>
            <w:tcW w:w="4563" w:type="dxa"/>
            <w:shd w:val="clear" w:color="auto" w:fill="E6E0EC" w:themeFill="accent4" w:themeFillTint="32"/>
          </w:tcPr>
          <w:p>
            <w:pPr>
              <w:rPr>
                <w:rFonts w:ascii="宋体"/>
                <w:color w:val="000000"/>
                <w:spacing w:val="-10"/>
                <w:szCs w:val="21"/>
                <w:highlight w:val="none"/>
              </w:rPr>
            </w:pPr>
            <w:r>
              <w:rPr>
                <w:rFonts w:hint="eastAsia" w:ascii="宋体"/>
                <w:color w:val="000000"/>
                <w:szCs w:val="21"/>
                <w:highlight w:val="none"/>
              </w:rPr>
              <w:t xml:space="preserve">是否因食品安全问题受到媒体的曝光        </w:t>
            </w:r>
          </w:p>
        </w:tc>
        <w:tc>
          <w:tcPr>
            <w:tcW w:w="1063" w:type="dxa"/>
            <w:shd w:val="clear" w:color="auto" w:fill="E6E0EC" w:themeFill="accent4" w:themeFillTint="32"/>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00" w:type="dxa"/>
            <w:vMerge w:val="continue"/>
            <w:shd w:val="clear" w:color="auto" w:fill="E6E0EC" w:themeFill="accent4" w:themeFillTint="32"/>
          </w:tcPr>
          <w:p>
            <w:pPr>
              <w:rPr>
                <w:szCs w:val="21"/>
                <w:highlight w:val="none"/>
              </w:rPr>
            </w:pPr>
          </w:p>
        </w:tc>
        <w:tc>
          <w:tcPr>
            <w:tcW w:w="45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 xml:space="preserve">是否发生了食品安全事故/召回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highlight w:val="none"/>
              </w:rPr>
            </w:pPr>
          </w:p>
        </w:tc>
        <w:tc>
          <w:tcPr>
            <w:tcW w:w="4563"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 xml:space="preserve">是否有重大顾客投诉                  </w:t>
            </w:r>
          </w:p>
        </w:tc>
        <w:tc>
          <w:tcPr>
            <w:tcW w:w="1063"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p>
        </w:tc>
        <w:tc>
          <w:tcPr>
            <w:tcW w:w="1637" w:type="dxa"/>
            <w:shd w:val="clear" w:color="auto" w:fill="E6E0EC" w:themeFill="accent4" w:themeFillTint="32"/>
          </w:tcPr>
          <w:p>
            <w:pPr>
              <w:rPr>
                <w:rFonts w:ascii="宋体" w:hAns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运输过程</w:t>
            </w:r>
          </w:p>
        </w:tc>
      </w:tr>
    </w:tbl>
    <w:p>
      <w:pPr>
        <w:spacing w:before="156" w:beforeLines="50" w:line="320" w:lineRule="exact"/>
        <w:ind w:left="260" w:leftChars="124"/>
        <w:rPr>
          <w:rFonts w:ascii="宋体" w:hAns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5164"/>
        <w:gridCol w:w="99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507" w:hRule="exact"/>
        </w:trPr>
        <w:tc>
          <w:tcPr>
            <w:tcW w:w="9763" w:type="dxa"/>
            <w:gridSpan w:val="4"/>
            <w:shd w:val="clear" w:color="auto" w:fill="8DB3E2" w:themeFill="text2" w:themeFillTint="66"/>
            <w:vAlign w:val="center"/>
          </w:tcPr>
          <w:p>
            <w:pPr>
              <w:spacing w:before="40" w:after="40"/>
              <w:rPr>
                <w:rFonts w:eastAsia="黑体"/>
                <w:b/>
                <w:color w:val="0000FF"/>
                <w:szCs w:val="21"/>
              </w:rPr>
            </w:pPr>
            <w:r>
              <w:rPr>
                <w:rFonts w:hint="eastAsia" w:ascii="宋体" w:hAnsi="宋体"/>
                <w:b/>
                <w:sz w:val="20"/>
                <w:szCs w:val="20"/>
              </w:rPr>
              <w:sym w:font="Wingdings 2" w:char="0052"/>
            </w:r>
            <w:r>
              <w:rPr>
                <w:rFonts w:hint="eastAsia" w:ascii="宋体" w:hAnsi="宋体"/>
                <w:b/>
                <w:sz w:val="20"/>
                <w:szCs w:val="20"/>
              </w:rPr>
              <w:t>《危害分析与关键控制点（HACCP体系）认证要求》（V1.0）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992"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w:t>
            </w:r>
            <w:r>
              <w:rPr>
                <w:rFonts w:ascii="宋体" w:hAnsi="宋体" w:eastAsia="宋体"/>
                <w:b w:val="0"/>
                <w:bCs/>
                <w:sz w:val="20"/>
                <w:lang w:val="en-GB" w:eastAsia="zh-CN"/>
              </w:rPr>
              <w:t>GHP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SSOP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r>
              <w:rPr>
                <w:rFonts w:hint="eastAsia" w:ascii="宋体" w:hAnsi="宋体" w:eastAsia="宋体"/>
                <w:b w:val="0"/>
                <w:bCs/>
                <w:sz w:val="20"/>
                <w:lang w:val="en-US" w:eastAsia="zh-CN"/>
              </w:rPr>
              <w:t>不适用</w:t>
            </w:r>
            <w:r>
              <w:rPr>
                <w:rFonts w:hint="eastAsia" w:ascii="宋体" w:hAnsi="宋体" w:eastAsia="宋体"/>
                <w:b w:val="0"/>
                <w:bCs/>
                <w:sz w:val="20"/>
                <w:lang w:val="en-GB" w:eastAsia="zh-CN"/>
              </w:rPr>
              <w:t>）</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w:t>
            </w:r>
            <w:r>
              <w:rPr>
                <w:rFonts w:ascii="宋体" w:hAnsi="宋体" w:eastAsia="宋体"/>
                <w:b w:val="0"/>
                <w:bCs/>
                <w:sz w:val="20"/>
                <w:lang w:val="en-GB" w:eastAsia="zh-CN"/>
              </w:rPr>
              <w:t>HACCP</w:t>
            </w:r>
            <w:r>
              <w:rPr>
                <w:rFonts w:hint="eastAsia" w:ascii="宋体" w:hAnsi="宋体" w:eastAsia="宋体"/>
                <w:b w:val="0"/>
                <w:bCs/>
                <w:sz w:val="20"/>
                <w:lang w:val="en-GB" w:eastAsia="zh-CN"/>
              </w:rPr>
              <w:t>知识的培训</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w:t>
            </w:r>
            <w:r>
              <w:rPr>
                <w:rFonts w:ascii="宋体" w:hAnsi="宋体" w:eastAsia="宋体"/>
                <w:b w:val="0"/>
                <w:bCs/>
                <w:sz w:val="20"/>
                <w:lang w:val="en-GB" w:eastAsia="zh-CN"/>
              </w:rPr>
              <w:t>HACCP</w:t>
            </w:r>
            <w:r>
              <w:rPr>
                <w:rFonts w:hint="eastAsia" w:ascii="宋体" w:hAnsi="宋体" w:eastAsia="宋体"/>
                <w:b w:val="0"/>
                <w:bCs/>
                <w:sz w:val="20"/>
                <w:lang w:val="en-GB" w:eastAsia="zh-CN"/>
              </w:rPr>
              <w:t>实施规则被认证机构撤销认证证书</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hint="eastAsia" w:ascii="宋体" w:hAnsi="宋体" w:eastAsia="宋体" w:cs="Times New Roman"/>
                <w:color w:val="000000"/>
                <w:szCs w:val="21"/>
                <w:highlight w:val="yellow"/>
              </w:rPr>
            </w:pPr>
            <w:r>
              <w:rPr>
                <w:rFonts w:hint="eastAsia" w:ascii="宋体" w:hAnsi="宋体" w:eastAsia="宋体" w:cs="Times New Roman"/>
                <w:color w:val="000000"/>
                <w:szCs w:val="21"/>
                <w:highlight w:val="none"/>
              </w:rPr>
              <w:t>关键控制点（CCP）的识别</w:t>
            </w:r>
          </w:p>
        </w:tc>
        <w:tc>
          <w:tcPr>
            <w:tcW w:w="5164" w:type="dxa"/>
            <w:shd w:val="clear" w:color="auto" w:fill="8DB3E2" w:themeFill="text2" w:themeFillTint="66"/>
          </w:tcPr>
          <w:p>
            <w:pPr>
              <w:rPr>
                <w:rFonts w:hint="eastAsia"/>
                <w:lang w:eastAsia="zh-CN"/>
              </w:rPr>
            </w:pPr>
            <w:r>
              <w:rPr>
                <w:rFonts w:hint="eastAsia"/>
              </w:rPr>
              <w:t>CCP</w:t>
            </w:r>
            <w:r>
              <w:t>1</w:t>
            </w:r>
            <w:r>
              <w:rPr>
                <w:rFonts w:hint="eastAsia"/>
                <w:lang w:eastAsia="zh-CN"/>
              </w:rPr>
              <w:t>：</w:t>
            </w:r>
            <w:r>
              <w:rPr>
                <w:rFonts w:hint="eastAsia"/>
              </w:rPr>
              <w:t>浆料配料</w:t>
            </w:r>
            <w:r>
              <w:rPr>
                <w:rFonts w:hint="eastAsia"/>
                <w:lang w:eastAsia="zh-CN"/>
              </w:rPr>
              <w:t>；</w:t>
            </w:r>
          </w:p>
          <w:p>
            <w:pPr>
              <w:rPr>
                <w:rFonts w:hint="eastAsia"/>
                <w:lang w:eastAsia="zh-CN"/>
              </w:rPr>
            </w:pPr>
            <w:r>
              <w:rPr>
                <w:rFonts w:hint="eastAsia"/>
              </w:rPr>
              <w:t>CCP</w:t>
            </w:r>
            <w:r>
              <w:t>2</w:t>
            </w:r>
            <w:r>
              <w:rPr>
                <w:rFonts w:hint="eastAsia"/>
                <w:lang w:eastAsia="zh-CN"/>
              </w:rPr>
              <w:t>：</w:t>
            </w:r>
            <w:r>
              <w:rPr>
                <w:rFonts w:hint="eastAsia"/>
              </w:rPr>
              <w:t>高温杀菌</w:t>
            </w:r>
            <w:r>
              <w:rPr>
                <w:rFonts w:hint="eastAsia"/>
                <w:lang w:eastAsia="zh-CN"/>
              </w:rPr>
              <w:t>；</w:t>
            </w:r>
          </w:p>
          <w:p>
            <w:pPr>
              <w:rPr>
                <w:rFonts w:hint="eastAsia"/>
                <w:lang w:eastAsia="zh-CN"/>
              </w:rPr>
            </w:pPr>
            <w:r>
              <w:rPr>
                <w:rFonts w:hint="eastAsia" w:ascii="Times New Roman" w:hAnsi="Times New Roman" w:eastAsia="宋体" w:cs="Times New Roman"/>
              </w:rPr>
              <w:t>CCP</w:t>
            </w:r>
            <w:r>
              <w:rPr>
                <w:rFonts w:ascii="Times New Roman" w:hAnsi="Times New Roman" w:eastAsia="宋体" w:cs="Times New Roman"/>
              </w:rPr>
              <w:t>3</w:t>
            </w:r>
            <w:r>
              <w:rPr>
                <w:rFonts w:hint="eastAsia" w:cs="Times New Roman"/>
                <w:lang w:eastAsia="zh-CN"/>
              </w:rPr>
              <w:t>：</w:t>
            </w:r>
            <w:r>
              <w:rPr>
                <w:rFonts w:hint="eastAsia" w:ascii="Times New Roman" w:hAnsi="Times New Roman" w:eastAsia="宋体" w:cs="Times New Roman"/>
              </w:rPr>
              <w:t>金属探测</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highlight w:val="yellow"/>
              </w:rPr>
            </w:pPr>
            <w:r>
              <w:rPr>
                <w:rFonts w:hint="eastAsia" w:ascii="宋体" w:hAnsi="宋体" w:eastAsia="宋体" w:cs="Times New Roman"/>
                <w:color w:val="000000"/>
                <w:szCs w:val="21"/>
                <w:highlight w:val="none"/>
              </w:rPr>
              <w:t>关键限值（CL）的识别</w:t>
            </w:r>
          </w:p>
        </w:tc>
        <w:tc>
          <w:tcPr>
            <w:tcW w:w="5164" w:type="dxa"/>
            <w:shd w:val="clear" w:color="auto" w:fill="8DB3E2" w:themeFill="text2" w:themeFillTint="66"/>
          </w:tcPr>
          <w:p>
            <w:pPr>
              <w:rPr>
                <w:rFonts w:hint="eastAsia"/>
              </w:rPr>
            </w:pPr>
            <w:r>
              <w:rPr>
                <w:rFonts w:hint="eastAsia"/>
              </w:rPr>
              <w:t>CCP1-CL:安赛蜜≤0.3g/kg,三氯蔗糖≤0.25g/kg,,</w:t>
            </w:r>
          </w:p>
          <w:p>
            <w:pPr>
              <w:rPr>
                <w:rFonts w:hint="eastAsia"/>
                <w:lang w:eastAsia="zh-CN"/>
              </w:rPr>
            </w:pPr>
            <w:r>
              <w:rPr>
                <w:rFonts w:hint="eastAsia"/>
              </w:rPr>
              <w:t>β-胡萝卜素≤1.0g/kg</w:t>
            </w:r>
            <w:r>
              <w:rPr>
                <w:rFonts w:hint="eastAsia"/>
                <w:lang w:eastAsia="zh-CN"/>
              </w:rPr>
              <w:t>，</w:t>
            </w:r>
            <w:r>
              <w:rPr>
                <w:rFonts w:hint="eastAsia"/>
              </w:rPr>
              <w:t>复配增稠剂（德尚）≤2.5g/kg CCP2-CL：压力0.2±0.01MPa，温度121±0.4℃，时间40-45分钟，（银耳羹杀菌时间为3</w:t>
            </w:r>
            <w:r>
              <w:t>0-35</w:t>
            </w:r>
            <w:r>
              <w:rPr>
                <w:rFonts w:hint="eastAsia"/>
              </w:rPr>
              <w:t>分钟）</w:t>
            </w:r>
            <w:r>
              <w:rPr>
                <w:rFonts w:hint="eastAsia"/>
                <w:lang w:eastAsia="zh-CN"/>
              </w:rPr>
              <w:t>；</w:t>
            </w:r>
          </w:p>
          <w:p>
            <w:pPr>
              <w:rPr>
                <w:rFonts w:ascii="Times New Roman" w:hAnsi="Times New Roman" w:eastAsia="宋体" w:cs="Times New Roman"/>
                <w:bCs/>
                <w:sz w:val="19"/>
                <w:szCs w:val="19"/>
              </w:rPr>
            </w:pPr>
            <w:r>
              <w:rPr>
                <w:rFonts w:hint="eastAsia" w:cs="Times New Roman"/>
                <w:lang w:val="en-US" w:eastAsia="zh-CN"/>
              </w:rPr>
              <w:t>CCP3-CL：</w:t>
            </w:r>
            <w:r>
              <w:rPr>
                <w:rFonts w:ascii="Times New Roman" w:hAnsi="Times New Roman" w:eastAsia="宋体" w:cs="Times New Roman"/>
                <w:bCs/>
                <w:sz w:val="19"/>
                <w:szCs w:val="19"/>
              </w:rPr>
              <w:t>Fe</w:t>
            </w:r>
            <w:r>
              <w:rPr>
                <w:rFonts w:hint="eastAsia" w:ascii="宋体" w:hAnsi="宋体" w:eastAsia="宋体" w:cs="Times New Roman"/>
                <w:bCs/>
                <w:sz w:val="19"/>
                <w:szCs w:val="19"/>
              </w:rPr>
              <w:t>Ф</w:t>
            </w:r>
            <w:r>
              <w:rPr>
                <w:rFonts w:hint="eastAsia" w:ascii="Times New Roman" w:hAnsi="Times New Roman" w:eastAsia="宋体" w:cs="Times New Roman"/>
                <w:bCs/>
                <w:sz w:val="19"/>
                <w:szCs w:val="19"/>
              </w:rPr>
              <w:t>≤4.0</w:t>
            </w:r>
            <w:r>
              <w:rPr>
                <w:rFonts w:ascii="Times New Roman" w:hAnsi="Times New Roman" w:eastAsia="宋体" w:cs="Times New Roman"/>
                <w:bCs/>
                <w:sz w:val="19"/>
                <w:szCs w:val="19"/>
              </w:rPr>
              <w:t>mm,</w:t>
            </w:r>
            <w:r>
              <w:rPr>
                <w:rFonts w:hint="eastAsia" w:ascii="Times New Roman" w:hAnsi="Times New Roman" w:eastAsia="宋体" w:cs="Times New Roman"/>
              </w:rPr>
              <w:t>SUS</w:t>
            </w:r>
            <w:r>
              <w:rPr>
                <w:rFonts w:hint="eastAsia" w:ascii="宋体" w:hAnsi="宋体" w:eastAsia="宋体" w:cs="Times New Roman"/>
                <w:bCs/>
                <w:sz w:val="19"/>
                <w:szCs w:val="19"/>
              </w:rPr>
              <w:t>Ф</w:t>
            </w:r>
            <w:r>
              <w:rPr>
                <w:rFonts w:hint="eastAsia" w:ascii="Times New Roman" w:hAnsi="Times New Roman" w:eastAsia="宋体" w:cs="Times New Roman"/>
                <w:bCs/>
                <w:sz w:val="19"/>
                <w:szCs w:val="19"/>
              </w:rPr>
              <w:t>≤4.5mm</w:t>
            </w:r>
          </w:p>
          <w:p>
            <w:pPr>
              <w:pStyle w:val="2"/>
              <w:rPr>
                <w:rFonts w:hint="default"/>
                <w:lang w:val="en-US" w:eastAsia="zh-CN"/>
              </w:rPr>
            </w:pP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外包过程的识别</w:t>
            </w:r>
          </w:p>
        </w:tc>
        <w:tc>
          <w:tcPr>
            <w:tcW w:w="5164" w:type="dxa"/>
            <w:shd w:val="clear" w:color="auto" w:fill="8DB3E2" w:themeFill="text2" w:themeFillTint="66"/>
            <w:vAlign w:val="top"/>
          </w:tcPr>
          <w:p>
            <w:pPr>
              <w:rPr>
                <w:rFonts w:hint="eastAsia" w:ascii="宋体" w:hAnsi="Times New Roman" w:eastAsia="宋体" w:cs="Times New Roman"/>
                <w:color w:val="FF0000"/>
                <w:spacing w:val="-10"/>
                <w:kern w:val="2"/>
                <w:sz w:val="21"/>
                <w:szCs w:val="21"/>
                <w:highlight w:val="none"/>
                <w:lang w:val="en-US" w:eastAsia="zh-CN" w:bidi="ar-SA"/>
              </w:rPr>
            </w:pPr>
            <w:r>
              <w:rPr>
                <w:rFonts w:hint="eastAsia" w:ascii="宋体" w:eastAsia="宋体"/>
                <w:color w:val="auto"/>
                <w:spacing w:val="-10"/>
                <w:szCs w:val="21"/>
                <w:highlight w:val="none"/>
                <w:lang w:eastAsia="zh-CN"/>
              </w:rPr>
              <w:t>运输过程、虫害控制过程；均按照采购控制要求执行；</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食品添加剂使用的类别</w:t>
            </w:r>
          </w:p>
        </w:tc>
        <w:tc>
          <w:tcPr>
            <w:tcW w:w="5164" w:type="dxa"/>
            <w:shd w:val="clear" w:color="auto" w:fill="8DB3E2" w:themeFill="text2" w:themeFillTint="66"/>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color w:val="000000"/>
                <w:spacing w:val="-10"/>
                <w:szCs w:val="21"/>
                <w:highlight w:val="none"/>
                <w:lang w:val="en-US" w:eastAsia="zh-CN"/>
              </w:rPr>
              <w:t>增稠剂、调味剂、食用香精、抗氧化剂、酸度调节剂、调味剂</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但个别不充分，见问题清单</w:t>
            </w:r>
            <w:r>
              <w:rPr>
                <w:rFonts w:hint="eastAsia" w:ascii="宋体" w:hAnsi="宋体"/>
                <w:color w:val="000000"/>
                <w:szCs w:val="21"/>
              </w:rPr>
              <w:t xml:space="preserve">     </w:t>
            </w:r>
          </w:p>
        </w:tc>
        <w:tc>
          <w:tcPr>
            <w:tcW w:w="1107" w:type="dxa"/>
            <w:shd w:val="clear" w:color="auto" w:fill="8DB3E2" w:themeFill="text2" w:themeFillTint="66"/>
          </w:tcPr>
          <w:p>
            <w:pPr>
              <w:rPr>
                <w:rFonts w:ascii="宋体" w:hAnsi="宋体"/>
                <w:color w:val="000000"/>
                <w:szCs w:val="21"/>
              </w:rPr>
            </w:pPr>
            <w:r>
              <w:rPr>
                <w:rFonts w:hint="eastAsia" w:ascii="宋体" w:hAnsi="宋体"/>
                <w:color w:val="FF0000"/>
                <w:szCs w:val="21"/>
                <w:highlight w:val="none"/>
              </w:rPr>
              <w:sym w:font="Wingdings 2" w:char="00A3"/>
            </w:r>
            <w:r>
              <w:rPr>
                <w:rFonts w:hint="eastAsia" w:ascii="宋体" w:hAnsi="宋体"/>
                <w:color w:val="FF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5164" w:type="dxa"/>
            <w:shd w:val="clear" w:color="auto" w:fill="8DB3E2" w:themeFill="text2" w:themeFillTint="66"/>
          </w:tcPr>
          <w:p>
            <w:pPr>
              <w:rPr>
                <w:rFonts w:ascii="宋体"/>
                <w:color w:val="000000"/>
                <w:szCs w:val="21"/>
              </w:rPr>
            </w:pPr>
            <w:r>
              <w:rPr>
                <w:rFonts w:hint="eastAsia" w:ascii="宋体"/>
                <w:color w:val="000000"/>
                <w:szCs w:val="21"/>
              </w:rPr>
              <w:t xml:space="preserve">是否满足产品检测的需要               </w:t>
            </w:r>
          </w:p>
        </w:tc>
        <w:tc>
          <w:tcPr>
            <w:tcW w:w="992" w:type="dxa"/>
            <w:shd w:val="clear" w:color="auto" w:fill="8DB3E2" w:themeFill="text2" w:themeFillTint="66"/>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产品食品安全标准  </w:t>
            </w:r>
            <w:r>
              <w:rPr>
                <w:rFonts w:hint="eastAsia" w:ascii="宋体" w:hAnsi="宋体"/>
                <w:color w:val="000000"/>
                <w:spacing w:val="-10"/>
                <w:szCs w:val="21"/>
              </w:rPr>
              <w:sym w:font="Wingdings 2" w:char="00A3"/>
            </w:r>
            <w:r>
              <w:rPr>
                <w:rFonts w:hint="eastAsia" w:ascii="宋体" w:hAnsi="宋体"/>
                <w:color w:val="000000"/>
                <w:spacing w:val="-10"/>
                <w:szCs w:val="21"/>
              </w:rPr>
              <w:t>地方标准</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992"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5164"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hint="default" w:ascii="宋体" w:hAnsi="宋体" w:eastAsia="宋体"/>
                <w:color w:val="000000"/>
                <w:spacing w:val="-10"/>
                <w:szCs w:val="21"/>
                <w:lang w:val="en-US" w:eastAsia="zh-CN"/>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5164"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5164"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5164"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5164"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运输过程</w:t>
            </w:r>
          </w:p>
        </w:tc>
      </w:tr>
    </w:tbl>
    <w:p>
      <w:pPr>
        <w:spacing w:before="40" w:after="40"/>
        <w:rPr>
          <w:rFonts w:eastAsia="黑体"/>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按审核方案执行</w:t>
            </w:r>
          </w:p>
          <w:p>
            <w:pPr>
              <w:spacing w:line="360" w:lineRule="auto"/>
              <w:rPr>
                <w:rFonts w:hint="default" w:ascii="宋体" w:eastAsia="宋体"/>
                <w:b/>
                <w:color w:val="000000"/>
                <w:szCs w:val="21"/>
                <w:u w:val="single"/>
                <w:lang w:val="en-US" w:eastAsia="zh-CN"/>
              </w:rPr>
            </w:pPr>
            <w:r>
              <w:rPr>
                <w:rFonts w:hint="eastAsia" w:ascii="宋体" w:hAnsi="宋体"/>
                <w:b/>
                <w:color w:val="000000"/>
                <w:szCs w:val="21"/>
              </w:rPr>
              <w:sym w:font="Wingdings 2" w:char="0052"/>
            </w:r>
            <w:r>
              <w:rPr>
                <w:rFonts w:hint="eastAsia" w:ascii="宋体"/>
                <w:b/>
                <w:color w:val="000000"/>
                <w:szCs w:val="21"/>
              </w:rPr>
              <w:t>调整审核方案的理由：</w:t>
            </w:r>
            <w:r>
              <w:rPr>
                <w:rFonts w:hint="eastAsia" w:ascii="宋体"/>
                <w:b/>
                <w:color w:val="000000"/>
                <w:szCs w:val="21"/>
                <w:u w:val="single"/>
                <w:lang w:val="en-US" w:eastAsia="zh-CN"/>
              </w:rPr>
              <w:t>疫情防控等级发生变化，调整审核方法，改为全远程审核</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2022-04-2</w:t>
            </w:r>
            <w:bookmarkEnd w:id="37"/>
            <w:r>
              <w:rPr>
                <w:rFonts w:hint="eastAsia" w:ascii="宋体"/>
                <w:b/>
                <w:color w:val="000000"/>
                <w:szCs w:val="21"/>
                <w:lang w:val="en-US" w:eastAsia="zh-CN"/>
              </w:rPr>
              <w:t>8上午开始</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7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80" w:type="dxa"/>
            <w:shd w:val="clear" w:color="auto" w:fill="D7D7D7" w:themeFill="background1" w:themeFillShade="D8"/>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可能降低可靠性的障碍</w:t>
            </w:r>
          </w:p>
        </w:tc>
        <w:tc>
          <w:tcPr>
            <w:tcW w:w="7235" w:type="dxa"/>
            <w:shd w:val="clear" w:color="auto" w:fill="D7D7D7" w:themeFill="background1" w:themeFillShade="D8"/>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80" w:type="dxa"/>
            <w:shd w:val="clear" w:color="auto" w:fill="D7D7D7" w:themeFill="background1" w:themeFillShade="D8"/>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突发事件的情况</w:t>
            </w:r>
          </w:p>
        </w:tc>
        <w:tc>
          <w:tcPr>
            <w:tcW w:w="7235" w:type="dxa"/>
            <w:shd w:val="clear" w:color="auto" w:fill="D7D7D7" w:themeFill="background1" w:themeFillShade="D8"/>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80" w:type="dxa"/>
            <w:shd w:val="clear" w:color="auto" w:fill="D7D7D7" w:themeFill="background1" w:themeFillShade="D8"/>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7235" w:type="dxa"/>
            <w:shd w:val="clear" w:color="auto" w:fill="D7D7D7" w:themeFill="background1" w:themeFillShade="D8"/>
            <w:vAlign w:val="center"/>
          </w:tcPr>
          <w:p>
            <w:pPr>
              <w:rPr>
                <w:rFonts w:ascii="宋体"/>
                <w:b/>
                <w:color w:val="0000FF"/>
                <w:szCs w:val="21"/>
              </w:rPr>
            </w:pPr>
            <w:r>
              <w:rPr>
                <w:rFonts w:hint="eastAsia" w:ascii="宋体"/>
                <w:b/>
                <w:color w:val="0000FF"/>
                <w:szCs w:val="21"/>
              </w:rPr>
              <w:t>□中止审核</w:t>
            </w:r>
            <w:r>
              <w:rPr>
                <w:rFonts w:hint="eastAsia" w:ascii="宋体"/>
                <w:b/>
                <w:color w:val="0000FF"/>
                <w:szCs w:val="21"/>
              </w:rPr>
              <w:sym w:font="Wingdings 2" w:char="00A3"/>
            </w:r>
            <w:r>
              <w:rPr>
                <w:rFonts w:hint="eastAsia" w:ascii="宋体"/>
                <w:b/>
                <w:color w:val="0000FF"/>
                <w:szCs w:val="21"/>
              </w:rPr>
              <w:t>终止审核□延迟审核□改为现场审核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vAlign w:val="top"/>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vAlign w:val="top"/>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strike/>
                <w:dstrike w:val="0"/>
                <w:color w:val="000000"/>
                <w:spacing w:val="-10"/>
                <w:szCs w:val="21"/>
              </w:rPr>
            </w:pPr>
            <w:r>
              <w:rPr>
                <w:rFonts w:hint="eastAsia" w:ascii="宋体" w:hAnsi="宋体"/>
                <w:b/>
                <w:strike/>
                <w:dstrike w:val="0"/>
                <w:color w:val="000000"/>
                <w:spacing w:val="-10"/>
                <w:szCs w:val="21"/>
                <w:lang w:val="de-DE"/>
              </w:rPr>
              <w:t>□</w:t>
            </w:r>
            <w:r>
              <w:rPr>
                <w:rFonts w:hint="eastAsia" w:ascii="宋体" w:hAnsi="宋体"/>
                <w:b/>
                <w:strike/>
                <w:dstrike w:val="0"/>
                <w:color w:val="000000"/>
                <w:spacing w:val="-10"/>
                <w:szCs w:val="21"/>
              </w:rPr>
              <w:t>审核</w:t>
            </w:r>
            <w:r>
              <w:rPr>
                <w:rFonts w:hint="eastAsia" w:ascii="宋体" w:hAnsi="宋体"/>
                <w:b/>
                <w:strike/>
                <w:dstrike w:val="0"/>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strike/>
                <w:dstrike w:val="0"/>
                <w:color w:val="000000"/>
                <w:szCs w:val="21"/>
              </w:rPr>
            </w:pPr>
          </w:p>
          <w:p>
            <w:pPr>
              <w:spacing w:line="280" w:lineRule="exact"/>
              <w:jc w:val="center"/>
              <w:rPr>
                <w:rFonts w:ascii="宋体"/>
                <w:b/>
                <w:strike/>
                <w:dstrike w:val="0"/>
                <w:color w:val="000000"/>
                <w:szCs w:val="21"/>
              </w:rPr>
            </w:pPr>
            <w:r>
              <w:rPr>
                <w:rFonts w:hint="eastAsia" w:ascii="宋体" w:hAnsi="宋体"/>
                <w:b/>
                <w:strike/>
                <w:dstrike w:val="0"/>
                <w:color w:val="000000"/>
                <w:szCs w:val="21"/>
              </w:rPr>
              <w:t>二阶段的管理体系审核范围</w:t>
            </w:r>
          </w:p>
        </w:tc>
        <w:tc>
          <w:tcPr>
            <w:tcW w:w="1029" w:type="dxa"/>
            <w:vAlign w:val="center"/>
          </w:tcPr>
          <w:p>
            <w:pPr>
              <w:spacing w:line="400" w:lineRule="exact"/>
              <w:rPr>
                <w:rFonts w:ascii="宋体"/>
                <w:b/>
                <w:strike/>
                <w:dstrike w:val="0"/>
                <w:color w:val="000000"/>
                <w:szCs w:val="21"/>
              </w:rPr>
            </w:pPr>
          </w:p>
        </w:tc>
        <w:tc>
          <w:tcPr>
            <w:tcW w:w="5841" w:type="dxa"/>
            <w:vAlign w:val="center"/>
          </w:tcPr>
          <w:p>
            <w:pPr>
              <w:spacing w:line="400" w:lineRule="exact"/>
              <w:rPr>
                <w:rFonts w:ascii="宋体" w:hAnsi="宋体"/>
                <w:b/>
                <w:strike/>
                <w:dstrike w:val="0"/>
                <w:color w:val="000000"/>
                <w:szCs w:val="21"/>
              </w:rPr>
            </w:pPr>
          </w:p>
        </w:tc>
        <w:tc>
          <w:tcPr>
            <w:tcW w:w="1541" w:type="dxa"/>
            <w:vAlign w:val="center"/>
          </w:tcPr>
          <w:p>
            <w:pPr>
              <w:spacing w:line="400" w:lineRule="exact"/>
              <w:rPr>
                <w:rFonts w:ascii="宋体" w:hAnsi="宋体"/>
                <w:b/>
                <w:strike/>
                <w:dstrike w:val="0"/>
                <w:color w:val="000000"/>
                <w:szCs w:val="21"/>
              </w:rPr>
            </w:pPr>
            <w:r>
              <w:rPr>
                <w:rFonts w:hint="eastAsia" w:ascii="宋体" w:hAnsi="宋体"/>
                <w:b/>
                <w:strike/>
                <w:dstrike w:val="0"/>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trike/>
                <w:dstrike w:val="0"/>
                <w:szCs w:val="21"/>
              </w:rPr>
            </w:pPr>
          </w:p>
        </w:tc>
        <w:tc>
          <w:tcPr>
            <w:tcW w:w="1029" w:type="dxa"/>
            <w:vAlign w:val="center"/>
          </w:tcPr>
          <w:p>
            <w:pPr>
              <w:spacing w:line="400" w:lineRule="exact"/>
              <w:rPr>
                <w:rFonts w:ascii="宋体"/>
                <w:b/>
                <w:strike/>
                <w:dstrike w:val="0"/>
                <w:color w:val="000000"/>
                <w:szCs w:val="21"/>
              </w:rPr>
            </w:pPr>
            <w:r>
              <w:rPr>
                <w:rFonts w:ascii="宋体" w:hAnsi="宋体"/>
                <w:b/>
                <w:strike/>
                <w:dstrike w:val="0"/>
                <w:color w:val="000000"/>
                <w:szCs w:val="21"/>
              </w:rPr>
              <w:t>QMS</w:t>
            </w:r>
          </w:p>
        </w:tc>
        <w:tc>
          <w:tcPr>
            <w:tcW w:w="5841" w:type="dxa"/>
            <w:vAlign w:val="center"/>
          </w:tcPr>
          <w:p>
            <w:pPr>
              <w:spacing w:line="400" w:lineRule="exact"/>
              <w:rPr>
                <w:rFonts w:ascii="宋体" w:hAnsi="宋体"/>
                <w:b/>
                <w:strike/>
                <w:dstrike w:val="0"/>
                <w:color w:val="000000"/>
                <w:szCs w:val="21"/>
              </w:rPr>
            </w:pPr>
          </w:p>
        </w:tc>
        <w:tc>
          <w:tcPr>
            <w:tcW w:w="1541" w:type="dxa"/>
            <w:vAlign w:val="center"/>
          </w:tcPr>
          <w:p>
            <w:pPr>
              <w:spacing w:line="400" w:lineRule="exact"/>
              <w:rPr>
                <w:rFonts w:ascii="宋体" w:hAnsi="宋体"/>
                <w:b/>
                <w:strike/>
                <w:dstrike w:val="0"/>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strike/>
                <w:dstrike w:val="0"/>
                <w:color w:val="000000"/>
                <w:szCs w:val="21"/>
              </w:rPr>
            </w:pPr>
          </w:p>
        </w:tc>
        <w:tc>
          <w:tcPr>
            <w:tcW w:w="1029" w:type="dxa"/>
            <w:vAlign w:val="center"/>
          </w:tcPr>
          <w:p>
            <w:pPr>
              <w:spacing w:line="400" w:lineRule="exact"/>
              <w:rPr>
                <w:rFonts w:ascii="宋体" w:hAnsi="宋体"/>
                <w:b/>
                <w:strike/>
                <w:dstrike w:val="0"/>
                <w:color w:val="000000"/>
                <w:szCs w:val="21"/>
              </w:rPr>
            </w:pPr>
            <w:r>
              <w:rPr>
                <w:rFonts w:hint="eastAsia" w:ascii="宋体" w:hAnsi="宋体"/>
                <w:b/>
                <w:strike/>
                <w:dstrike w:val="0"/>
                <w:color w:val="000000"/>
                <w:szCs w:val="21"/>
              </w:rPr>
              <w:t>Ec</w:t>
            </w:r>
            <w:r>
              <w:rPr>
                <w:rFonts w:ascii="宋体" w:hAnsi="宋体"/>
                <w:b/>
                <w:strike/>
                <w:dstrike w:val="0"/>
                <w:color w:val="000000"/>
                <w:szCs w:val="21"/>
              </w:rPr>
              <w:t>MS</w:t>
            </w:r>
          </w:p>
        </w:tc>
        <w:tc>
          <w:tcPr>
            <w:tcW w:w="5841" w:type="dxa"/>
            <w:vAlign w:val="center"/>
          </w:tcPr>
          <w:p>
            <w:pPr>
              <w:spacing w:line="400" w:lineRule="exact"/>
              <w:rPr>
                <w:rFonts w:ascii="宋体" w:hAnsi="宋体"/>
                <w:b/>
                <w:strike/>
                <w:dstrike w:val="0"/>
                <w:color w:val="000000"/>
                <w:szCs w:val="21"/>
              </w:rPr>
            </w:pPr>
          </w:p>
        </w:tc>
        <w:tc>
          <w:tcPr>
            <w:tcW w:w="1541" w:type="dxa"/>
            <w:vAlign w:val="center"/>
          </w:tcPr>
          <w:p>
            <w:pPr>
              <w:spacing w:line="400" w:lineRule="exact"/>
              <w:rPr>
                <w:rFonts w:ascii="宋体" w:hAnsi="宋体"/>
                <w:b/>
                <w:strike/>
                <w:dstrike w:val="0"/>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strike/>
                <w:dstrike w:val="0"/>
                <w:color w:val="000000"/>
                <w:szCs w:val="21"/>
              </w:rPr>
            </w:pPr>
          </w:p>
        </w:tc>
        <w:tc>
          <w:tcPr>
            <w:tcW w:w="1029" w:type="dxa"/>
            <w:vAlign w:val="center"/>
          </w:tcPr>
          <w:p>
            <w:pPr>
              <w:spacing w:line="400" w:lineRule="exact"/>
              <w:rPr>
                <w:rFonts w:ascii="宋体" w:hAnsi="宋体"/>
                <w:b/>
                <w:strike/>
                <w:dstrike w:val="0"/>
                <w:color w:val="000000"/>
                <w:szCs w:val="21"/>
              </w:rPr>
            </w:pPr>
            <w:r>
              <w:rPr>
                <w:rFonts w:ascii="宋体" w:hAnsi="宋体"/>
                <w:b/>
                <w:strike/>
                <w:dstrike w:val="0"/>
                <w:color w:val="000000"/>
                <w:szCs w:val="21"/>
              </w:rPr>
              <w:t>EMS</w:t>
            </w:r>
          </w:p>
        </w:tc>
        <w:tc>
          <w:tcPr>
            <w:tcW w:w="5841" w:type="dxa"/>
            <w:vAlign w:val="center"/>
          </w:tcPr>
          <w:p>
            <w:pPr>
              <w:spacing w:line="400" w:lineRule="exact"/>
              <w:rPr>
                <w:rFonts w:ascii="宋体" w:hAnsi="宋体"/>
                <w:b/>
                <w:strike/>
                <w:dstrike w:val="0"/>
                <w:color w:val="000000"/>
                <w:szCs w:val="21"/>
              </w:rPr>
            </w:pPr>
          </w:p>
        </w:tc>
        <w:tc>
          <w:tcPr>
            <w:tcW w:w="1541" w:type="dxa"/>
            <w:vAlign w:val="center"/>
          </w:tcPr>
          <w:p>
            <w:pPr>
              <w:spacing w:line="400" w:lineRule="exact"/>
              <w:rPr>
                <w:rFonts w:ascii="宋体" w:hAnsi="宋体"/>
                <w:b/>
                <w:strike/>
                <w:dstrike w:val="0"/>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strike/>
                <w:dstrike w:val="0"/>
                <w:color w:val="000000"/>
                <w:szCs w:val="21"/>
              </w:rPr>
            </w:pPr>
          </w:p>
        </w:tc>
        <w:tc>
          <w:tcPr>
            <w:tcW w:w="1029" w:type="dxa"/>
            <w:vAlign w:val="center"/>
          </w:tcPr>
          <w:p>
            <w:pPr>
              <w:spacing w:line="400" w:lineRule="exact"/>
              <w:rPr>
                <w:rFonts w:ascii="宋体" w:hAnsi="宋体"/>
                <w:b/>
                <w:strike/>
                <w:dstrike w:val="0"/>
                <w:color w:val="000000"/>
                <w:szCs w:val="21"/>
              </w:rPr>
            </w:pPr>
            <w:r>
              <w:rPr>
                <w:rFonts w:ascii="宋体" w:hAnsi="宋体"/>
                <w:b/>
                <w:strike/>
                <w:dstrike w:val="0"/>
                <w:color w:val="000000"/>
                <w:szCs w:val="21"/>
              </w:rPr>
              <w:t>OHSMS</w:t>
            </w:r>
          </w:p>
        </w:tc>
        <w:tc>
          <w:tcPr>
            <w:tcW w:w="5841" w:type="dxa"/>
            <w:vAlign w:val="center"/>
          </w:tcPr>
          <w:p>
            <w:pPr>
              <w:spacing w:line="400" w:lineRule="exact"/>
              <w:rPr>
                <w:rFonts w:ascii="宋体" w:hAnsi="宋体"/>
                <w:b/>
                <w:strike/>
                <w:dstrike w:val="0"/>
                <w:color w:val="000000"/>
                <w:szCs w:val="21"/>
              </w:rPr>
            </w:pPr>
          </w:p>
        </w:tc>
        <w:tc>
          <w:tcPr>
            <w:tcW w:w="1541" w:type="dxa"/>
            <w:vAlign w:val="center"/>
          </w:tcPr>
          <w:p>
            <w:pPr>
              <w:spacing w:line="400" w:lineRule="exact"/>
              <w:rPr>
                <w:rFonts w:ascii="宋体" w:hAnsi="宋体"/>
                <w:b/>
                <w:strike/>
                <w:dstrike w:val="0"/>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strike/>
                <w:dstrike w:val="0"/>
                <w:color w:val="000000"/>
                <w:szCs w:val="21"/>
              </w:rPr>
            </w:pPr>
          </w:p>
        </w:tc>
        <w:tc>
          <w:tcPr>
            <w:tcW w:w="1029" w:type="dxa"/>
            <w:vAlign w:val="center"/>
          </w:tcPr>
          <w:p>
            <w:pPr>
              <w:spacing w:line="400" w:lineRule="exact"/>
              <w:rPr>
                <w:rFonts w:ascii="宋体" w:hAnsi="宋体"/>
                <w:b/>
                <w:strike/>
                <w:dstrike w:val="0"/>
                <w:color w:val="000000"/>
                <w:szCs w:val="21"/>
              </w:rPr>
            </w:pPr>
            <w:r>
              <w:rPr>
                <w:rFonts w:hint="eastAsia" w:ascii="宋体" w:hAnsi="宋体"/>
                <w:b/>
                <w:strike/>
                <w:dstrike w:val="0"/>
                <w:color w:val="000000"/>
                <w:szCs w:val="21"/>
              </w:rPr>
              <w:t>EnMS</w:t>
            </w:r>
          </w:p>
        </w:tc>
        <w:tc>
          <w:tcPr>
            <w:tcW w:w="5841" w:type="dxa"/>
            <w:vAlign w:val="center"/>
          </w:tcPr>
          <w:p>
            <w:pPr>
              <w:spacing w:line="400" w:lineRule="exact"/>
              <w:rPr>
                <w:rFonts w:ascii="宋体" w:hAnsi="宋体"/>
                <w:b/>
                <w:strike/>
                <w:dstrike w:val="0"/>
                <w:color w:val="000000"/>
                <w:szCs w:val="21"/>
              </w:rPr>
            </w:pPr>
          </w:p>
        </w:tc>
        <w:tc>
          <w:tcPr>
            <w:tcW w:w="1541" w:type="dxa"/>
            <w:vAlign w:val="center"/>
          </w:tcPr>
          <w:p>
            <w:pPr>
              <w:spacing w:line="400" w:lineRule="exact"/>
              <w:rPr>
                <w:rFonts w:ascii="宋体" w:hAnsi="宋体"/>
                <w:b/>
                <w:strike/>
                <w:dstrike w:val="0"/>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strike/>
                <w:dstrike w:val="0"/>
                <w:color w:val="000000"/>
                <w:szCs w:val="21"/>
              </w:rPr>
            </w:pPr>
          </w:p>
        </w:tc>
        <w:tc>
          <w:tcPr>
            <w:tcW w:w="1029" w:type="dxa"/>
            <w:vAlign w:val="center"/>
          </w:tcPr>
          <w:p>
            <w:pPr>
              <w:spacing w:line="400" w:lineRule="exact"/>
              <w:rPr>
                <w:rFonts w:ascii="宋体" w:hAnsi="宋体"/>
                <w:b/>
                <w:strike/>
                <w:dstrike w:val="0"/>
                <w:color w:val="000000"/>
                <w:szCs w:val="21"/>
              </w:rPr>
            </w:pPr>
            <w:r>
              <w:rPr>
                <w:rFonts w:hint="eastAsia" w:ascii="宋体" w:hAnsi="宋体"/>
                <w:b/>
                <w:strike/>
                <w:dstrike w:val="0"/>
                <w:color w:val="000000"/>
                <w:szCs w:val="21"/>
              </w:rPr>
              <w:t>F</w:t>
            </w:r>
            <w:r>
              <w:rPr>
                <w:rFonts w:ascii="宋体" w:hAnsi="宋体"/>
                <w:b/>
                <w:strike/>
                <w:dstrike w:val="0"/>
                <w:color w:val="000000"/>
                <w:szCs w:val="21"/>
              </w:rPr>
              <w:t>SMS</w:t>
            </w:r>
          </w:p>
        </w:tc>
        <w:tc>
          <w:tcPr>
            <w:tcW w:w="5841" w:type="dxa"/>
            <w:vAlign w:val="center"/>
          </w:tcPr>
          <w:p>
            <w:pPr>
              <w:spacing w:line="400" w:lineRule="exact"/>
              <w:rPr>
                <w:rFonts w:ascii="宋体" w:hAnsi="宋体"/>
                <w:b/>
                <w:strike/>
                <w:dstrike w:val="0"/>
                <w:color w:val="000000"/>
                <w:szCs w:val="21"/>
              </w:rPr>
            </w:pPr>
          </w:p>
        </w:tc>
        <w:tc>
          <w:tcPr>
            <w:tcW w:w="1541" w:type="dxa"/>
            <w:vAlign w:val="center"/>
          </w:tcPr>
          <w:p>
            <w:pPr>
              <w:spacing w:line="400" w:lineRule="exact"/>
              <w:rPr>
                <w:rFonts w:ascii="宋体" w:hAnsi="宋体"/>
                <w:b/>
                <w:strike/>
                <w:dstrike w:val="0"/>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strike/>
                <w:dstrike w:val="0"/>
                <w:color w:val="000000"/>
                <w:szCs w:val="21"/>
              </w:rPr>
            </w:pPr>
          </w:p>
        </w:tc>
        <w:tc>
          <w:tcPr>
            <w:tcW w:w="1029" w:type="dxa"/>
            <w:vAlign w:val="center"/>
          </w:tcPr>
          <w:p>
            <w:pPr>
              <w:spacing w:line="400" w:lineRule="exact"/>
              <w:rPr>
                <w:rFonts w:ascii="宋体" w:hAnsi="宋体"/>
                <w:b/>
                <w:strike/>
                <w:dstrike w:val="0"/>
                <w:color w:val="000000"/>
                <w:szCs w:val="21"/>
              </w:rPr>
            </w:pPr>
            <w:r>
              <w:rPr>
                <w:rFonts w:hint="eastAsia" w:ascii="宋体" w:hAnsi="宋体"/>
                <w:b/>
                <w:strike/>
                <w:dstrike w:val="0"/>
                <w:color w:val="000000"/>
                <w:szCs w:val="21"/>
              </w:rPr>
              <w:t>HACCP</w:t>
            </w:r>
          </w:p>
        </w:tc>
        <w:tc>
          <w:tcPr>
            <w:tcW w:w="5841" w:type="dxa"/>
            <w:vAlign w:val="center"/>
          </w:tcPr>
          <w:p>
            <w:pPr>
              <w:spacing w:line="400" w:lineRule="exact"/>
              <w:rPr>
                <w:rFonts w:ascii="宋体" w:hAnsi="宋体"/>
                <w:b/>
                <w:strike/>
                <w:dstrike w:val="0"/>
                <w:color w:val="000000"/>
                <w:szCs w:val="21"/>
              </w:rPr>
            </w:pPr>
          </w:p>
        </w:tc>
        <w:tc>
          <w:tcPr>
            <w:tcW w:w="1541" w:type="dxa"/>
            <w:vAlign w:val="center"/>
          </w:tcPr>
          <w:p>
            <w:pPr>
              <w:spacing w:line="400" w:lineRule="exact"/>
              <w:rPr>
                <w:rFonts w:ascii="宋体" w:hAnsi="宋体"/>
                <w:b/>
                <w:strike/>
                <w:dstrike w:val="0"/>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bookmarkStart w:id="38" w:name="_GoBack"/>
      <w:bookmarkEnd w:id="38"/>
      <w:r>
        <w:rPr>
          <w:rFonts w:hint="default"/>
          <w:b/>
          <w:sz w:val="20"/>
          <w:lang w:val="en-US" w:eastAsia="zh-CN"/>
        </w:rPr>
        <w:drawing>
          <wp:anchor distT="0" distB="0" distL="114300" distR="114300" simplePos="0" relativeHeight="251663360" behindDoc="0" locked="0" layoutInCell="1" allowOverlap="1">
            <wp:simplePos x="0" y="0"/>
            <wp:positionH relativeFrom="column">
              <wp:posOffset>4474210</wp:posOffset>
            </wp:positionH>
            <wp:positionV relativeFrom="paragraph">
              <wp:posOffset>311785</wp:posOffset>
            </wp:positionV>
            <wp:extent cx="932815" cy="346710"/>
            <wp:effectExtent l="0" t="0" r="6985" b="8890"/>
            <wp:wrapSquare wrapText="bothSides"/>
            <wp:docPr id="2" name="图片 2"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8687608936969873"/>
                    <pic:cNvPicPr>
                      <a:picLocks noChangeAspect="1"/>
                    </pic:cNvPicPr>
                  </pic:nvPicPr>
                  <pic:blipFill>
                    <a:blip r:embed="rId6">
                      <a:lum bright="6000"/>
                    </a:blip>
                    <a:stretch>
                      <a:fillRect/>
                    </a:stretch>
                  </pic:blipFill>
                  <pic:spPr>
                    <a:xfrm>
                      <a:off x="0" y="0"/>
                      <a:ext cx="932815" cy="34671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drawing>
          <wp:anchor distT="0" distB="0" distL="114300" distR="114300" simplePos="0" relativeHeight="251661312" behindDoc="1" locked="0" layoutInCell="1" allowOverlap="1">
            <wp:simplePos x="0" y="0"/>
            <wp:positionH relativeFrom="column">
              <wp:posOffset>1805940</wp:posOffset>
            </wp:positionH>
            <wp:positionV relativeFrom="paragraph">
              <wp:posOffset>-381000</wp:posOffset>
            </wp:positionV>
            <wp:extent cx="1234440" cy="577215"/>
            <wp:effectExtent l="0" t="0" r="0" b="6985"/>
            <wp:wrapTight wrapText="bothSides">
              <wp:wrapPolygon>
                <wp:start x="9111" y="950"/>
                <wp:lineTo x="3778" y="950"/>
                <wp:lineTo x="1333" y="6178"/>
                <wp:lineTo x="1778" y="8554"/>
                <wp:lineTo x="2667" y="16158"/>
                <wp:lineTo x="2444" y="18059"/>
                <wp:lineTo x="3333" y="19960"/>
                <wp:lineTo x="4444" y="20911"/>
                <wp:lineTo x="18889" y="20911"/>
                <wp:lineTo x="19111" y="19960"/>
                <wp:lineTo x="20667" y="16158"/>
                <wp:lineTo x="21111" y="8554"/>
                <wp:lineTo x="17333" y="950"/>
                <wp:lineTo x="9111" y="950"/>
              </wp:wrapPolygon>
            </wp:wrapTight>
            <wp:docPr id="3" name="图片 3"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01"/>
                    <pic:cNvPicPr>
                      <a:picLocks noChangeAspect="1"/>
                    </pic:cNvPicPr>
                  </pic:nvPicPr>
                  <pic:blipFill>
                    <a:blip r:embed="rId7"/>
                    <a:stretch>
                      <a:fillRect/>
                    </a:stretch>
                  </pic:blipFill>
                  <pic:spPr>
                    <a:xfrm>
                      <a:off x="0" y="0"/>
                      <a:ext cx="1234440" cy="577215"/>
                    </a:xfrm>
                    <a:prstGeom prst="rect">
                      <a:avLst/>
                    </a:prstGeom>
                  </pic:spPr>
                </pic:pic>
              </a:graphicData>
            </a:graphic>
          </wp:anchor>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2022-04-27</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一阶段现场/远程审核问题清单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032"/>
        <w:gridCol w:w="2205"/>
        <w:gridCol w:w="112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4" w:type="dxa"/>
            <w:vAlign w:val="center"/>
          </w:tcPr>
          <w:p>
            <w:pPr>
              <w:snapToGrid w:val="0"/>
              <w:spacing w:line="280" w:lineRule="exact"/>
              <w:jc w:val="center"/>
              <w:rPr>
                <w:b/>
                <w:bCs/>
                <w:color w:val="000000"/>
                <w:szCs w:val="21"/>
              </w:rPr>
            </w:pPr>
            <w:r>
              <w:rPr>
                <w:rFonts w:hint="eastAsia"/>
                <w:b/>
                <w:bCs/>
                <w:color w:val="000000"/>
                <w:szCs w:val="21"/>
              </w:rPr>
              <w:t>序号</w:t>
            </w:r>
          </w:p>
        </w:tc>
        <w:tc>
          <w:tcPr>
            <w:tcW w:w="6237"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12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4" w:type="dxa"/>
            <w:vAlign w:val="center"/>
          </w:tcPr>
          <w:p>
            <w:pPr>
              <w:pStyle w:val="6"/>
              <w:pBdr>
                <w:bottom w:val="none" w:color="auto" w:sz="0" w:space="0"/>
              </w:pBdr>
              <w:jc w:val="both"/>
              <w:rPr>
                <w:rFonts w:ascii="宋体"/>
                <w:color w:val="000000"/>
                <w:sz w:val="18"/>
                <w:szCs w:val="18"/>
              </w:rPr>
            </w:pPr>
            <w:r>
              <w:rPr>
                <w:rFonts w:hint="eastAsia" w:ascii="宋体"/>
                <w:color w:val="000000"/>
                <w:sz w:val="18"/>
                <w:szCs w:val="18"/>
              </w:rPr>
              <w:t>1</w:t>
            </w:r>
          </w:p>
        </w:tc>
        <w:tc>
          <w:tcPr>
            <w:tcW w:w="6237" w:type="dxa"/>
            <w:gridSpan w:val="2"/>
            <w:vAlign w:val="center"/>
          </w:tcPr>
          <w:p>
            <w:pPr>
              <w:pStyle w:val="6"/>
              <w:pBdr>
                <w:bottom w:val="none" w:color="auto" w:sz="0" w:space="0"/>
              </w:pBdr>
              <w:tabs>
                <w:tab w:val="center" w:pos="5737"/>
                <w:tab w:val="clear" w:pos="4153"/>
              </w:tabs>
              <w:jc w:val="both"/>
              <w:rPr>
                <w:color w:val="000000"/>
                <w:sz w:val="18"/>
                <w:szCs w:val="18"/>
              </w:rPr>
            </w:pPr>
            <w:r>
              <w:rPr>
                <w:rFonts w:hint="eastAsia"/>
                <w:color w:val="000000"/>
                <w:sz w:val="18"/>
                <w:szCs w:val="18"/>
              </w:rPr>
              <w:t>虫鼠害防治：车间灭蝇灯没有及时更换灭蝇纸；</w:t>
            </w:r>
          </w:p>
        </w:tc>
        <w:tc>
          <w:tcPr>
            <w:tcW w:w="1120" w:type="dxa"/>
            <w:vAlign w:val="center"/>
          </w:tcPr>
          <w:p>
            <w:pPr>
              <w:pStyle w:val="6"/>
              <w:pBdr>
                <w:bottom w:val="none" w:color="auto" w:sz="0" w:space="0"/>
              </w:pBdr>
              <w:jc w:val="both"/>
              <w:rPr>
                <w:rFonts w:hint="default" w:eastAsia="宋体"/>
                <w:color w:val="000000"/>
                <w:sz w:val="18"/>
                <w:szCs w:val="18"/>
                <w:lang w:val="en-US" w:eastAsia="zh-CN"/>
              </w:rPr>
            </w:pPr>
            <w:r>
              <w:rPr>
                <w:rFonts w:hint="eastAsia"/>
                <w:color w:val="000000"/>
                <w:sz w:val="18"/>
                <w:szCs w:val="18"/>
              </w:rPr>
              <w:t>I</w:t>
            </w:r>
            <w:r>
              <w:rPr>
                <w:color w:val="000000"/>
                <w:sz w:val="18"/>
                <w:szCs w:val="18"/>
              </w:rPr>
              <w:t>SO22000</w:t>
            </w:r>
          </w:p>
          <w:p>
            <w:pPr>
              <w:pStyle w:val="6"/>
              <w:pBdr>
                <w:bottom w:val="none" w:color="auto" w:sz="0" w:space="0"/>
              </w:pBdr>
              <w:jc w:val="both"/>
              <w:rPr>
                <w:rFonts w:hint="eastAsia" w:eastAsia="宋体"/>
                <w:color w:val="000000"/>
                <w:sz w:val="18"/>
                <w:szCs w:val="18"/>
                <w:lang w:eastAsia="zh-CN"/>
              </w:rPr>
            </w:pPr>
            <w:r>
              <w:rPr>
                <w:rFonts w:hint="eastAsia"/>
                <w:color w:val="000000"/>
                <w:sz w:val="18"/>
                <w:szCs w:val="18"/>
              </w:rPr>
              <w:t>H</w:t>
            </w:r>
            <w:r>
              <w:rPr>
                <w:color w:val="000000"/>
                <w:sz w:val="18"/>
                <w:szCs w:val="18"/>
              </w:rPr>
              <w:t>ACCP</w:t>
            </w:r>
            <w:r>
              <w:rPr>
                <w:rFonts w:hint="eastAsia"/>
                <w:color w:val="000000"/>
                <w:sz w:val="18"/>
                <w:szCs w:val="18"/>
                <w:lang w:eastAsia="zh-CN"/>
              </w:rPr>
              <w:t>（</w:t>
            </w:r>
            <w:r>
              <w:rPr>
                <w:rFonts w:hint="eastAsia"/>
                <w:color w:val="000000"/>
                <w:sz w:val="18"/>
                <w:szCs w:val="18"/>
                <w:lang w:val="en-US" w:eastAsia="zh-CN"/>
              </w:rPr>
              <w:t>V1.0</w:t>
            </w:r>
            <w:r>
              <w:rPr>
                <w:rFonts w:hint="eastAsia"/>
                <w:color w:val="000000"/>
                <w:sz w:val="18"/>
                <w:szCs w:val="18"/>
                <w:lang w:eastAsia="zh-CN"/>
              </w:rPr>
              <w:t>）</w:t>
            </w:r>
          </w:p>
        </w:tc>
        <w:tc>
          <w:tcPr>
            <w:tcW w:w="1133" w:type="dxa"/>
            <w:vAlign w:val="center"/>
          </w:tcPr>
          <w:p>
            <w:pPr>
              <w:pStyle w:val="6"/>
              <w:pBdr>
                <w:bottom w:val="none" w:color="auto" w:sz="0" w:space="0"/>
              </w:pBdr>
              <w:jc w:val="both"/>
              <w:rPr>
                <w:color w:val="000000"/>
                <w:sz w:val="18"/>
                <w:szCs w:val="18"/>
              </w:rPr>
            </w:pPr>
            <w:r>
              <w:rPr>
                <w:rFonts w:hint="eastAsia"/>
                <w:color w:val="000000"/>
                <w:sz w:val="18"/>
                <w:szCs w:val="18"/>
              </w:rPr>
              <w:t>8</w:t>
            </w:r>
            <w:r>
              <w:rPr>
                <w:color w:val="000000"/>
                <w:sz w:val="18"/>
                <w:szCs w:val="18"/>
              </w:rPr>
              <w:t>.2.4</w:t>
            </w:r>
          </w:p>
          <w:p>
            <w:pPr>
              <w:pStyle w:val="6"/>
              <w:pBdr>
                <w:bottom w:val="none" w:color="auto" w:sz="0" w:space="0"/>
              </w:pBdr>
              <w:jc w:val="both"/>
              <w:rPr>
                <w:color w:val="000000"/>
                <w:sz w:val="18"/>
                <w:szCs w:val="18"/>
              </w:rPr>
            </w:pPr>
            <w:r>
              <w:rPr>
                <w:rFonts w:hint="eastAsia"/>
                <w:color w:val="000000"/>
                <w:sz w:val="18"/>
                <w:szCs w:val="18"/>
              </w:rPr>
              <w:t>3</w:t>
            </w:r>
            <w:r>
              <w:rPr>
                <w:color w:val="000000"/>
                <w:sz w:val="18"/>
                <w:szCs w:val="18"/>
              </w:rPr>
              <w:t>.3</w:t>
            </w:r>
          </w:p>
        </w:tc>
        <w:tc>
          <w:tcPr>
            <w:tcW w:w="934" w:type="dxa"/>
            <w:vAlign w:val="center"/>
          </w:tcPr>
          <w:p>
            <w:pPr>
              <w:pStyle w:val="6"/>
              <w:pBdr>
                <w:bottom w:val="none" w:color="auto" w:sz="0" w:space="0"/>
              </w:pBdr>
              <w:jc w:val="both"/>
              <w:rPr>
                <w:rFonts w:hint="eastAsia" w:eastAsia="宋体"/>
                <w:color w:val="000000"/>
                <w:sz w:val="18"/>
                <w:szCs w:val="18"/>
                <w:lang w:val="en-US" w:eastAsia="zh-CN"/>
              </w:rPr>
            </w:pPr>
            <w:r>
              <w:rPr>
                <w:rFonts w:hint="eastAsia"/>
                <w:color w:val="00000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04" w:type="dxa"/>
            <w:vAlign w:val="center"/>
          </w:tcPr>
          <w:p>
            <w:pPr>
              <w:pStyle w:val="6"/>
              <w:pBdr>
                <w:bottom w:val="none" w:color="auto" w:sz="0" w:space="0"/>
              </w:pBdr>
              <w:jc w:val="both"/>
              <w:rPr>
                <w:rFonts w:ascii="宋体"/>
                <w:color w:val="000000"/>
                <w:sz w:val="18"/>
                <w:szCs w:val="18"/>
              </w:rPr>
            </w:pPr>
            <w:r>
              <w:rPr>
                <w:rFonts w:hint="eastAsia" w:ascii="宋体"/>
                <w:color w:val="000000"/>
                <w:sz w:val="18"/>
                <w:szCs w:val="18"/>
              </w:rPr>
              <w:t>2</w:t>
            </w:r>
          </w:p>
        </w:tc>
        <w:tc>
          <w:tcPr>
            <w:tcW w:w="6237" w:type="dxa"/>
            <w:gridSpan w:val="2"/>
            <w:vAlign w:val="center"/>
          </w:tcPr>
          <w:p>
            <w:pPr>
              <w:pStyle w:val="6"/>
              <w:pBdr>
                <w:bottom w:val="none" w:color="auto" w:sz="0" w:space="0"/>
              </w:pBdr>
              <w:tabs>
                <w:tab w:val="center" w:pos="5737"/>
                <w:tab w:val="clear" w:pos="4153"/>
              </w:tabs>
              <w:jc w:val="both"/>
              <w:rPr>
                <w:rFonts w:hint="eastAsia"/>
                <w:color w:val="000000"/>
                <w:sz w:val="18"/>
                <w:szCs w:val="18"/>
              </w:rPr>
            </w:pPr>
            <w:r>
              <w:rPr>
                <w:rFonts w:hint="eastAsia"/>
                <w:color w:val="000000"/>
                <w:sz w:val="18"/>
                <w:szCs w:val="18"/>
              </w:rPr>
              <w:t>查看现场：清洗间内冷柜内有沧州大枣未脱包，冷柜有残渣、积垢等；</w:t>
            </w:r>
          </w:p>
        </w:tc>
        <w:tc>
          <w:tcPr>
            <w:tcW w:w="1120" w:type="dxa"/>
            <w:vAlign w:val="center"/>
          </w:tcPr>
          <w:p>
            <w:pPr>
              <w:pStyle w:val="6"/>
              <w:pBdr>
                <w:bottom w:val="none" w:color="auto" w:sz="0" w:space="0"/>
              </w:pBdr>
              <w:jc w:val="both"/>
              <w:rPr>
                <w:color w:val="000000"/>
                <w:sz w:val="18"/>
                <w:szCs w:val="18"/>
              </w:rPr>
            </w:pPr>
            <w:r>
              <w:rPr>
                <w:rFonts w:hint="eastAsia"/>
                <w:color w:val="000000"/>
                <w:sz w:val="18"/>
                <w:szCs w:val="18"/>
              </w:rPr>
              <w:t>I</w:t>
            </w:r>
            <w:r>
              <w:rPr>
                <w:color w:val="000000"/>
                <w:sz w:val="18"/>
                <w:szCs w:val="18"/>
              </w:rPr>
              <w:t>SO22000</w:t>
            </w:r>
          </w:p>
          <w:p>
            <w:pPr>
              <w:pStyle w:val="6"/>
              <w:pBdr>
                <w:bottom w:val="none" w:color="auto" w:sz="0" w:space="0"/>
              </w:pBdr>
              <w:jc w:val="both"/>
              <w:rPr>
                <w:color w:val="000000"/>
                <w:sz w:val="18"/>
                <w:szCs w:val="18"/>
              </w:rPr>
            </w:pPr>
            <w:r>
              <w:rPr>
                <w:rFonts w:hint="eastAsia"/>
                <w:color w:val="000000"/>
                <w:sz w:val="18"/>
                <w:szCs w:val="18"/>
              </w:rPr>
              <w:t>H</w:t>
            </w:r>
            <w:r>
              <w:rPr>
                <w:color w:val="000000"/>
                <w:sz w:val="18"/>
                <w:szCs w:val="18"/>
              </w:rPr>
              <w:t>ACCP</w:t>
            </w:r>
            <w:r>
              <w:rPr>
                <w:rFonts w:hint="eastAsia"/>
                <w:color w:val="000000"/>
                <w:sz w:val="18"/>
                <w:szCs w:val="18"/>
                <w:lang w:eastAsia="zh-CN"/>
              </w:rPr>
              <w:t>（</w:t>
            </w:r>
            <w:r>
              <w:rPr>
                <w:rFonts w:hint="eastAsia"/>
                <w:color w:val="000000"/>
                <w:sz w:val="18"/>
                <w:szCs w:val="18"/>
                <w:lang w:val="en-US" w:eastAsia="zh-CN"/>
              </w:rPr>
              <w:t>V1.0</w:t>
            </w:r>
            <w:r>
              <w:rPr>
                <w:rFonts w:hint="eastAsia"/>
                <w:color w:val="000000"/>
                <w:sz w:val="18"/>
                <w:szCs w:val="18"/>
                <w:lang w:eastAsia="zh-CN"/>
              </w:rPr>
              <w:t>）</w:t>
            </w:r>
          </w:p>
        </w:tc>
        <w:tc>
          <w:tcPr>
            <w:tcW w:w="1133" w:type="dxa"/>
            <w:vAlign w:val="center"/>
          </w:tcPr>
          <w:p>
            <w:pPr>
              <w:pStyle w:val="6"/>
              <w:pBdr>
                <w:bottom w:val="none" w:color="auto" w:sz="0" w:space="0"/>
              </w:pBdr>
              <w:jc w:val="both"/>
              <w:rPr>
                <w:color w:val="000000"/>
                <w:sz w:val="18"/>
                <w:szCs w:val="18"/>
              </w:rPr>
            </w:pPr>
            <w:r>
              <w:rPr>
                <w:color w:val="000000"/>
                <w:sz w:val="18"/>
                <w:szCs w:val="18"/>
              </w:rPr>
              <w:t>8.2.4</w:t>
            </w:r>
          </w:p>
          <w:p>
            <w:pPr>
              <w:pStyle w:val="6"/>
              <w:pBdr>
                <w:bottom w:val="none" w:color="auto" w:sz="0" w:space="0"/>
              </w:pBdr>
              <w:jc w:val="both"/>
              <w:rPr>
                <w:color w:val="000000"/>
                <w:sz w:val="18"/>
                <w:szCs w:val="18"/>
              </w:rPr>
            </w:pPr>
            <w:r>
              <w:rPr>
                <w:rFonts w:hint="eastAsia"/>
                <w:color w:val="000000"/>
                <w:sz w:val="18"/>
                <w:szCs w:val="18"/>
              </w:rPr>
              <w:t>3</w:t>
            </w:r>
            <w:r>
              <w:rPr>
                <w:color w:val="000000"/>
                <w:sz w:val="18"/>
                <w:szCs w:val="18"/>
              </w:rPr>
              <w:t>.3</w:t>
            </w:r>
          </w:p>
        </w:tc>
        <w:tc>
          <w:tcPr>
            <w:tcW w:w="934" w:type="dxa"/>
            <w:vAlign w:val="center"/>
          </w:tcPr>
          <w:p>
            <w:pPr>
              <w:pStyle w:val="6"/>
              <w:pBdr>
                <w:bottom w:val="none" w:color="auto" w:sz="0" w:space="0"/>
              </w:pBdr>
              <w:jc w:val="both"/>
              <w:rPr>
                <w:rFonts w:hint="eastAsia" w:eastAsia="宋体"/>
                <w:color w:val="000000"/>
                <w:sz w:val="18"/>
                <w:szCs w:val="18"/>
                <w:lang w:val="en-US" w:eastAsia="zh-CN"/>
              </w:rPr>
            </w:pPr>
            <w:r>
              <w:rPr>
                <w:rFonts w:hint="eastAsia"/>
                <w:color w:val="00000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04" w:type="dxa"/>
            <w:vAlign w:val="center"/>
          </w:tcPr>
          <w:p>
            <w:pPr>
              <w:pStyle w:val="6"/>
              <w:pBdr>
                <w:bottom w:val="none" w:color="auto" w:sz="0" w:space="0"/>
              </w:pBdr>
              <w:jc w:val="both"/>
              <w:rPr>
                <w:rFonts w:ascii="宋体"/>
                <w:color w:val="000000"/>
                <w:sz w:val="18"/>
                <w:szCs w:val="18"/>
              </w:rPr>
            </w:pPr>
            <w:r>
              <w:rPr>
                <w:rFonts w:hint="eastAsia" w:ascii="宋体"/>
                <w:color w:val="000000"/>
                <w:sz w:val="18"/>
                <w:szCs w:val="18"/>
              </w:rPr>
              <w:t>3</w:t>
            </w:r>
          </w:p>
        </w:tc>
        <w:tc>
          <w:tcPr>
            <w:tcW w:w="6237" w:type="dxa"/>
            <w:gridSpan w:val="2"/>
            <w:vAlign w:val="center"/>
          </w:tcPr>
          <w:p>
            <w:pPr>
              <w:pStyle w:val="6"/>
              <w:pBdr>
                <w:bottom w:val="none" w:color="auto" w:sz="0" w:space="0"/>
              </w:pBdr>
              <w:tabs>
                <w:tab w:val="center" w:pos="5737"/>
                <w:tab w:val="clear" w:pos="4153"/>
              </w:tabs>
              <w:jc w:val="both"/>
              <w:rPr>
                <w:rFonts w:hint="eastAsia"/>
                <w:color w:val="000000"/>
                <w:sz w:val="18"/>
                <w:szCs w:val="18"/>
              </w:rPr>
            </w:pPr>
            <w:r>
              <w:rPr>
                <w:rFonts w:hint="eastAsia"/>
                <w:color w:val="000000"/>
                <w:sz w:val="18"/>
                <w:szCs w:val="18"/>
              </w:rPr>
              <w:t>产品留样未进行标识；</w:t>
            </w:r>
          </w:p>
        </w:tc>
        <w:tc>
          <w:tcPr>
            <w:tcW w:w="1120" w:type="dxa"/>
            <w:vAlign w:val="center"/>
          </w:tcPr>
          <w:p>
            <w:pPr>
              <w:pStyle w:val="6"/>
              <w:pBdr>
                <w:bottom w:val="none" w:color="auto" w:sz="0" w:space="0"/>
              </w:pBdr>
              <w:jc w:val="both"/>
              <w:rPr>
                <w:color w:val="000000"/>
                <w:sz w:val="18"/>
                <w:szCs w:val="18"/>
              </w:rPr>
            </w:pPr>
            <w:r>
              <w:rPr>
                <w:rFonts w:hint="eastAsia"/>
                <w:color w:val="000000"/>
                <w:sz w:val="18"/>
                <w:szCs w:val="18"/>
              </w:rPr>
              <w:t>I</w:t>
            </w:r>
            <w:r>
              <w:rPr>
                <w:color w:val="000000"/>
                <w:sz w:val="18"/>
                <w:szCs w:val="18"/>
              </w:rPr>
              <w:t>SO22000</w:t>
            </w:r>
          </w:p>
          <w:p>
            <w:pPr>
              <w:pStyle w:val="6"/>
              <w:pBdr>
                <w:bottom w:val="none" w:color="auto" w:sz="0" w:space="0"/>
              </w:pBdr>
              <w:jc w:val="both"/>
              <w:rPr>
                <w:color w:val="000000"/>
                <w:sz w:val="18"/>
                <w:szCs w:val="18"/>
              </w:rPr>
            </w:pPr>
            <w:r>
              <w:rPr>
                <w:rFonts w:hint="eastAsia"/>
                <w:color w:val="000000"/>
                <w:sz w:val="18"/>
                <w:szCs w:val="18"/>
              </w:rPr>
              <w:t>H</w:t>
            </w:r>
            <w:r>
              <w:rPr>
                <w:color w:val="000000"/>
                <w:sz w:val="18"/>
                <w:szCs w:val="18"/>
              </w:rPr>
              <w:t>ACCP</w:t>
            </w:r>
            <w:r>
              <w:rPr>
                <w:rFonts w:hint="eastAsia"/>
                <w:color w:val="000000"/>
                <w:sz w:val="18"/>
                <w:szCs w:val="18"/>
                <w:lang w:eastAsia="zh-CN"/>
              </w:rPr>
              <w:t>（</w:t>
            </w:r>
            <w:r>
              <w:rPr>
                <w:rFonts w:hint="eastAsia"/>
                <w:color w:val="000000"/>
                <w:sz w:val="18"/>
                <w:szCs w:val="18"/>
                <w:lang w:val="en-US" w:eastAsia="zh-CN"/>
              </w:rPr>
              <w:t>V1.0</w:t>
            </w:r>
            <w:r>
              <w:rPr>
                <w:rFonts w:hint="eastAsia"/>
                <w:color w:val="000000"/>
                <w:sz w:val="18"/>
                <w:szCs w:val="18"/>
                <w:lang w:eastAsia="zh-CN"/>
              </w:rPr>
              <w:t>）</w:t>
            </w:r>
          </w:p>
        </w:tc>
        <w:tc>
          <w:tcPr>
            <w:tcW w:w="1133" w:type="dxa"/>
            <w:vAlign w:val="center"/>
          </w:tcPr>
          <w:p>
            <w:pPr>
              <w:pStyle w:val="6"/>
              <w:pBdr>
                <w:bottom w:val="none" w:color="auto" w:sz="0" w:space="0"/>
              </w:pBdr>
              <w:jc w:val="both"/>
              <w:rPr>
                <w:color w:val="000000"/>
                <w:sz w:val="18"/>
                <w:szCs w:val="18"/>
              </w:rPr>
            </w:pPr>
            <w:r>
              <w:rPr>
                <w:rFonts w:hint="eastAsia"/>
                <w:color w:val="000000"/>
                <w:sz w:val="18"/>
                <w:szCs w:val="18"/>
              </w:rPr>
              <w:t>8</w:t>
            </w:r>
            <w:r>
              <w:rPr>
                <w:color w:val="000000"/>
                <w:sz w:val="18"/>
                <w:szCs w:val="18"/>
              </w:rPr>
              <w:t>.3</w:t>
            </w:r>
          </w:p>
          <w:p>
            <w:pPr>
              <w:pStyle w:val="6"/>
              <w:pBdr>
                <w:bottom w:val="none" w:color="auto" w:sz="0" w:space="0"/>
              </w:pBdr>
              <w:jc w:val="both"/>
              <w:rPr>
                <w:color w:val="000000"/>
                <w:sz w:val="18"/>
                <w:szCs w:val="18"/>
              </w:rPr>
            </w:pPr>
            <w:r>
              <w:rPr>
                <w:color w:val="000000"/>
                <w:sz w:val="18"/>
                <w:szCs w:val="18"/>
              </w:rPr>
              <w:t>3.6</w:t>
            </w:r>
          </w:p>
        </w:tc>
        <w:tc>
          <w:tcPr>
            <w:tcW w:w="934" w:type="dxa"/>
            <w:vAlign w:val="center"/>
          </w:tcPr>
          <w:p>
            <w:pPr>
              <w:pStyle w:val="6"/>
              <w:pBdr>
                <w:bottom w:val="none" w:color="auto" w:sz="0" w:space="0"/>
              </w:pBdr>
              <w:jc w:val="both"/>
              <w:rPr>
                <w:rFonts w:hint="eastAsia" w:eastAsia="宋体"/>
                <w:color w:val="000000"/>
                <w:sz w:val="18"/>
                <w:szCs w:val="18"/>
                <w:lang w:val="en-US" w:eastAsia="zh-CN"/>
              </w:rPr>
            </w:pPr>
            <w:r>
              <w:rPr>
                <w:rFonts w:hint="eastAsia"/>
                <w:color w:val="00000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4" w:type="dxa"/>
            <w:vAlign w:val="center"/>
          </w:tcPr>
          <w:p>
            <w:pPr>
              <w:pStyle w:val="6"/>
              <w:pBdr>
                <w:bottom w:val="none" w:color="auto" w:sz="0" w:space="0"/>
              </w:pBdr>
              <w:jc w:val="both"/>
              <w:rPr>
                <w:rFonts w:hint="eastAsia" w:ascii="宋体" w:eastAsia="宋体"/>
                <w:color w:val="000000"/>
                <w:sz w:val="18"/>
                <w:szCs w:val="18"/>
                <w:lang w:val="en-US" w:eastAsia="zh-CN"/>
              </w:rPr>
            </w:pPr>
            <w:r>
              <w:rPr>
                <w:rFonts w:hint="eastAsia" w:ascii="宋体"/>
                <w:color w:val="000000"/>
                <w:sz w:val="18"/>
                <w:szCs w:val="18"/>
                <w:lang w:val="en-US" w:eastAsia="zh-CN"/>
              </w:rPr>
              <w:t>4</w:t>
            </w:r>
          </w:p>
        </w:tc>
        <w:tc>
          <w:tcPr>
            <w:tcW w:w="6237" w:type="dxa"/>
            <w:gridSpan w:val="2"/>
            <w:vAlign w:val="center"/>
          </w:tcPr>
          <w:p>
            <w:pPr>
              <w:pStyle w:val="6"/>
              <w:pBdr>
                <w:bottom w:val="none" w:color="auto" w:sz="0" w:space="0"/>
              </w:pBdr>
              <w:tabs>
                <w:tab w:val="center" w:pos="5737"/>
                <w:tab w:val="clear" w:pos="4153"/>
              </w:tabs>
              <w:jc w:val="both"/>
              <w:rPr>
                <w:rFonts w:hint="default" w:eastAsia="宋体"/>
                <w:color w:val="000000"/>
                <w:sz w:val="18"/>
                <w:szCs w:val="18"/>
                <w:lang w:val="en-US" w:eastAsia="zh-CN"/>
              </w:rPr>
            </w:pPr>
            <w:r>
              <w:rPr>
                <w:rFonts w:hint="eastAsia"/>
                <w:color w:val="000000"/>
                <w:sz w:val="18"/>
                <w:szCs w:val="18"/>
                <w:lang w:val="en-US" w:eastAsia="zh-CN"/>
              </w:rPr>
              <w:t>未提供审核周期内总目标的考核完成情况</w:t>
            </w:r>
          </w:p>
        </w:tc>
        <w:tc>
          <w:tcPr>
            <w:tcW w:w="1120" w:type="dxa"/>
            <w:vAlign w:val="center"/>
          </w:tcPr>
          <w:p>
            <w:pPr>
              <w:pStyle w:val="6"/>
              <w:pBdr>
                <w:bottom w:val="none" w:color="auto" w:sz="0" w:space="0"/>
              </w:pBdr>
              <w:jc w:val="both"/>
              <w:rPr>
                <w:color w:val="000000"/>
                <w:sz w:val="18"/>
                <w:szCs w:val="18"/>
              </w:rPr>
            </w:pPr>
            <w:r>
              <w:rPr>
                <w:rFonts w:hint="eastAsia"/>
                <w:color w:val="000000"/>
                <w:sz w:val="18"/>
                <w:szCs w:val="18"/>
              </w:rPr>
              <w:t>I</w:t>
            </w:r>
            <w:r>
              <w:rPr>
                <w:color w:val="000000"/>
                <w:sz w:val="18"/>
                <w:szCs w:val="18"/>
              </w:rPr>
              <w:t>SO22000</w:t>
            </w:r>
          </w:p>
          <w:p>
            <w:pPr>
              <w:pStyle w:val="6"/>
              <w:pBdr>
                <w:bottom w:val="none" w:color="auto" w:sz="0" w:space="0"/>
              </w:pBdr>
              <w:jc w:val="both"/>
              <w:rPr>
                <w:rFonts w:ascii="Calibri" w:hAnsi="Calibri" w:eastAsia="宋体" w:cs="Times New Roman"/>
                <w:color w:val="000000"/>
                <w:kern w:val="2"/>
                <w:sz w:val="18"/>
                <w:szCs w:val="18"/>
                <w:lang w:val="en-US" w:eastAsia="zh-CN" w:bidi="ar-SA"/>
              </w:rPr>
            </w:pPr>
            <w:r>
              <w:rPr>
                <w:rFonts w:hint="eastAsia"/>
                <w:color w:val="000000"/>
                <w:sz w:val="18"/>
                <w:szCs w:val="18"/>
              </w:rPr>
              <w:t>H</w:t>
            </w:r>
            <w:r>
              <w:rPr>
                <w:color w:val="000000"/>
                <w:sz w:val="18"/>
                <w:szCs w:val="18"/>
              </w:rPr>
              <w:t>ACCP</w:t>
            </w:r>
            <w:r>
              <w:rPr>
                <w:rFonts w:hint="eastAsia"/>
                <w:color w:val="000000"/>
                <w:sz w:val="18"/>
                <w:szCs w:val="18"/>
                <w:lang w:eastAsia="zh-CN"/>
              </w:rPr>
              <w:t>（</w:t>
            </w:r>
            <w:r>
              <w:rPr>
                <w:rFonts w:hint="eastAsia"/>
                <w:color w:val="000000"/>
                <w:sz w:val="18"/>
                <w:szCs w:val="18"/>
                <w:lang w:val="en-US" w:eastAsia="zh-CN"/>
              </w:rPr>
              <w:t>V1.0</w:t>
            </w:r>
            <w:r>
              <w:rPr>
                <w:rFonts w:hint="eastAsia"/>
                <w:color w:val="000000"/>
                <w:sz w:val="18"/>
                <w:szCs w:val="18"/>
                <w:lang w:eastAsia="zh-CN"/>
              </w:rPr>
              <w:t>）</w:t>
            </w:r>
          </w:p>
        </w:tc>
        <w:tc>
          <w:tcPr>
            <w:tcW w:w="1133" w:type="dxa"/>
            <w:vAlign w:val="center"/>
          </w:tcPr>
          <w:p>
            <w:pPr>
              <w:pStyle w:val="6"/>
              <w:pBdr>
                <w:bottom w:val="none" w:color="auto" w:sz="0" w:space="0"/>
              </w:pBdr>
              <w:jc w:val="both"/>
              <w:rPr>
                <w:rFonts w:hint="eastAsia"/>
                <w:color w:val="000000"/>
                <w:sz w:val="18"/>
                <w:szCs w:val="18"/>
                <w:lang w:val="en-US" w:eastAsia="zh-CN"/>
              </w:rPr>
            </w:pPr>
            <w:r>
              <w:rPr>
                <w:rFonts w:hint="eastAsia"/>
                <w:color w:val="000000"/>
                <w:sz w:val="18"/>
                <w:szCs w:val="18"/>
                <w:lang w:val="en-US" w:eastAsia="zh-CN"/>
              </w:rPr>
              <w:t>6.2</w:t>
            </w:r>
          </w:p>
          <w:p>
            <w:pPr>
              <w:pStyle w:val="6"/>
              <w:pBdr>
                <w:bottom w:val="none" w:color="auto" w:sz="0" w:space="0"/>
              </w:pBdr>
              <w:jc w:val="both"/>
              <w:rPr>
                <w:rFonts w:ascii="Calibri" w:hAnsi="Calibri" w:eastAsia="宋体" w:cs="Times New Roman"/>
                <w:color w:val="000000"/>
                <w:kern w:val="2"/>
                <w:sz w:val="18"/>
                <w:szCs w:val="18"/>
                <w:lang w:val="en-US" w:eastAsia="zh-CN" w:bidi="ar-SA"/>
              </w:rPr>
            </w:pPr>
            <w:r>
              <w:rPr>
                <w:rFonts w:hint="eastAsia"/>
                <w:color w:val="000000"/>
                <w:sz w:val="18"/>
                <w:szCs w:val="18"/>
                <w:lang w:val="en-US" w:eastAsia="zh-CN"/>
              </w:rPr>
              <w:t>2.4</w:t>
            </w:r>
          </w:p>
        </w:tc>
        <w:tc>
          <w:tcPr>
            <w:tcW w:w="934" w:type="dxa"/>
            <w:vAlign w:val="center"/>
          </w:tcPr>
          <w:p>
            <w:pPr>
              <w:pStyle w:val="6"/>
              <w:pBdr>
                <w:bottom w:val="none" w:color="auto" w:sz="0" w:space="0"/>
              </w:pBdr>
              <w:jc w:val="both"/>
              <w:rPr>
                <w:rFonts w:hint="eastAsia" w:eastAsia="宋体"/>
                <w:color w:val="000000"/>
                <w:sz w:val="18"/>
                <w:szCs w:val="18"/>
                <w:lang w:val="en-US" w:eastAsia="zh-CN"/>
              </w:rPr>
            </w:pPr>
            <w:r>
              <w:rPr>
                <w:rFonts w:hint="eastAsia"/>
                <w:color w:val="00000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04" w:type="dxa"/>
            <w:vAlign w:val="center"/>
          </w:tcPr>
          <w:p>
            <w:pPr>
              <w:pStyle w:val="6"/>
              <w:pBdr>
                <w:bottom w:val="none" w:color="auto" w:sz="0" w:space="0"/>
              </w:pBdr>
              <w:jc w:val="both"/>
              <w:rPr>
                <w:rFonts w:hint="eastAsia" w:ascii="宋体" w:eastAsia="宋体"/>
                <w:color w:val="000000"/>
                <w:sz w:val="18"/>
                <w:szCs w:val="18"/>
                <w:lang w:val="en-US" w:eastAsia="zh-CN"/>
              </w:rPr>
            </w:pPr>
            <w:r>
              <w:rPr>
                <w:rFonts w:hint="eastAsia" w:ascii="宋体"/>
                <w:color w:val="000000"/>
                <w:sz w:val="18"/>
                <w:szCs w:val="18"/>
                <w:lang w:val="en-US" w:eastAsia="zh-CN"/>
              </w:rPr>
              <w:t>5</w:t>
            </w:r>
          </w:p>
        </w:tc>
        <w:tc>
          <w:tcPr>
            <w:tcW w:w="6237" w:type="dxa"/>
            <w:gridSpan w:val="2"/>
            <w:vAlign w:val="center"/>
          </w:tcPr>
          <w:p>
            <w:pPr>
              <w:pStyle w:val="6"/>
              <w:pBdr>
                <w:bottom w:val="none" w:color="auto" w:sz="0" w:space="0"/>
              </w:pBdr>
              <w:tabs>
                <w:tab w:val="center" w:pos="5737"/>
                <w:tab w:val="clear" w:pos="4153"/>
              </w:tabs>
              <w:jc w:val="both"/>
              <w:rPr>
                <w:rFonts w:hint="default" w:eastAsia="宋体"/>
                <w:color w:val="000000"/>
                <w:sz w:val="18"/>
                <w:szCs w:val="18"/>
                <w:lang w:val="en-US" w:eastAsia="zh-CN"/>
              </w:rPr>
            </w:pPr>
            <w:r>
              <w:rPr>
                <w:rFonts w:hint="eastAsia"/>
                <w:color w:val="000000"/>
                <w:sz w:val="18"/>
                <w:szCs w:val="18"/>
                <w:lang w:val="en-US" w:eastAsia="zh-CN"/>
              </w:rPr>
              <w:t>危害控制计划中，包装材料消毒OPRP2与危害分析及显著危害确定（方便粥及方便羹）中描述不一致</w:t>
            </w:r>
          </w:p>
        </w:tc>
        <w:tc>
          <w:tcPr>
            <w:tcW w:w="1120" w:type="dxa"/>
            <w:vAlign w:val="center"/>
          </w:tcPr>
          <w:p>
            <w:pPr>
              <w:pStyle w:val="6"/>
              <w:pBdr>
                <w:bottom w:val="none" w:color="auto" w:sz="0" w:space="0"/>
              </w:pBdr>
              <w:jc w:val="both"/>
              <w:rPr>
                <w:color w:val="000000"/>
                <w:sz w:val="18"/>
                <w:szCs w:val="18"/>
              </w:rPr>
            </w:pPr>
            <w:r>
              <w:rPr>
                <w:rFonts w:hint="eastAsia"/>
                <w:color w:val="000000"/>
                <w:sz w:val="18"/>
                <w:szCs w:val="18"/>
              </w:rPr>
              <w:t>I</w:t>
            </w:r>
            <w:r>
              <w:rPr>
                <w:color w:val="000000"/>
                <w:sz w:val="18"/>
                <w:szCs w:val="18"/>
              </w:rPr>
              <w:t>SO22000</w:t>
            </w:r>
          </w:p>
          <w:p>
            <w:pPr>
              <w:pStyle w:val="6"/>
              <w:pBdr>
                <w:bottom w:val="none" w:color="auto" w:sz="0" w:space="0"/>
              </w:pBdr>
              <w:jc w:val="both"/>
              <w:rPr>
                <w:rFonts w:ascii="Calibri" w:hAnsi="Calibri" w:eastAsia="宋体" w:cs="Times New Roman"/>
                <w:color w:val="000000"/>
                <w:kern w:val="2"/>
                <w:sz w:val="18"/>
                <w:szCs w:val="18"/>
                <w:lang w:val="en-US" w:eastAsia="zh-CN" w:bidi="ar-SA"/>
              </w:rPr>
            </w:pPr>
            <w:r>
              <w:rPr>
                <w:rFonts w:hint="eastAsia"/>
                <w:color w:val="000000"/>
                <w:sz w:val="18"/>
                <w:szCs w:val="18"/>
              </w:rPr>
              <w:t>H</w:t>
            </w:r>
            <w:r>
              <w:rPr>
                <w:color w:val="000000"/>
                <w:sz w:val="18"/>
                <w:szCs w:val="18"/>
              </w:rPr>
              <w:t>ACCP</w:t>
            </w:r>
            <w:r>
              <w:rPr>
                <w:rFonts w:hint="eastAsia"/>
                <w:color w:val="000000"/>
                <w:sz w:val="18"/>
                <w:szCs w:val="18"/>
              </w:rPr>
              <w:t>H</w:t>
            </w:r>
            <w:r>
              <w:rPr>
                <w:color w:val="000000"/>
                <w:sz w:val="18"/>
                <w:szCs w:val="18"/>
              </w:rPr>
              <w:t>ACCP</w:t>
            </w:r>
            <w:r>
              <w:rPr>
                <w:rFonts w:hint="eastAsia"/>
                <w:color w:val="000000"/>
                <w:sz w:val="18"/>
                <w:szCs w:val="18"/>
                <w:lang w:eastAsia="zh-CN"/>
              </w:rPr>
              <w:t>（</w:t>
            </w:r>
            <w:r>
              <w:rPr>
                <w:rFonts w:hint="eastAsia"/>
                <w:color w:val="000000"/>
                <w:sz w:val="18"/>
                <w:szCs w:val="18"/>
                <w:lang w:val="en-US" w:eastAsia="zh-CN"/>
              </w:rPr>
              <w:t>V1.0</w:t>
            </w:r>
            <w:r>
              <w:rPr>
                <w:rFonts w:hint="eastAsia"/>
                <w:color w:val="000000"/>
                <w:sz w:val="18"/>
                <w:szCs w:val="18"/>
                <w:lang w:eastAsia="zh-CN"/>
              </w:rPr>
              <w:t>）</w:t>
            </w:r>
          </w:p>
        </w:tc>
        <w:tc>
          <w:tcPr>
            <w:tcW w:w="1133" w:type="dxa"/>
            <w:vAlign w:val="center"/>
          </w:tcPr>
          <w:p>
            <w:pPr>
              <w:pStyle w:val="6"/>
              <w:pBdr>
                <w:bottom w:val="none" w:color="auto" w:sz="0" w:space="0"/>
              </w:pBdr>
              <w:jc w:val="both"/>
              <w:rPr>
                <w:rFonts w:hint="eastAsia"/>
                <w:color w:val="000000"/>
                <w:sz w:val="18"/>
                <w:szCs w:val="18"/>
                <w:lang w:val="en-US" w:eastAsia="zh-CN"/>
              </w:rPr>
            </w:pPr>
            <w:r>
              <w:rPr>
                <w:rFonts w:hint="eastAsia"/>
                <w:color w:val="000000"/>
                <w:sz w:val="18"/>
                <w:szCs w:val="18"/>
                <w:lang w:val="en-US" w:eastAsia="zh-CN"/>
              </w:rPr>
              <w:t>8.5</w:t>
            </w:r>
          </w:p>
          <w:p>
            <w:pPr>
              <w:pStyle w:val="6"/>
              <w:pBdr>
                <w:bottom w:val="none" w:color="auto" w:sz="0" w:space="0"/>
              </w:pBdr>
              <w:jc w:val="both"/>
              <w:rPr>
                <w:rFonts w:hint="default" w:ascii="Calibri" w:hAnsi="Calibri" w:eastAsia="宋体" w:cs="Times New Roman"/>
                <w:color w:val="000000"/>
                <w:kern w:val="2"/>
                <w:sz w:val="18"/>
                <w:szCs w:val="18"/>
                <w:lang w:val="en-US" w:eastAsia="zh-CN" w:bidi="ar-SA"/>
              </w:rPr>
            </w:pPr>
            <w:r>
              <w:rPr>
                <w:rFonts w:hint="eastAsia"/>
                <w:color w:val="000000"/>
                <w:sz w:val="18"/>
                <w:szCs w:val="18"/>
                <w:lang w:val="en-US" w:eastAsia="zh-CN"/>
              </w:rPr>
              <w:t>4.3</w:t>
            </w:r>
          </w:p>
        </w:tc>
        <w:tc>
          <w:tcPr>
            <w:tcW w:w="934" w:type="dxa"/>
            <w:vAlign w:val="center"/>
          </w:tcPr>
          <w:p>
            <w:pPr>
              <w:pStyle w:val="6"/>
              <w:pBdr>
                <w:bottom w:val="none" w:color="auto" w:sz="0" w:space="0"/>
              </w:pBdr>
              <w:jc w:val="both"/>
              <w:rPr>
                <w:rFonts w:hint="eastAsia" w:eastAsia="宋体"/>
                <w:color w:val="000000"/>
                <w:sz w:val="18"/>
                <w:szCs w:val="18"/>
                <w:lang w:val="en-US" w:eastAsia="zh-CN"/>
              </w:rPr>
            </w:pPr>
            <w:r>
              <w:rPr>
                <w:rFonts w:hint="eastAsia"/>
                <w:color w:val="00000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04" w:type="dxa"/>
            <w:vAlign w:val="center"/>
          </w:tcPr>
          <w:p>
            <w:pPr>
              <w:pStyle w:val="6"/>
              <w:pBdr>
                <w:bottom w:val="none" w:color="auto" w:sz="0" w:space="0"/>
              </w:pBdr>
              <w:jc w:val="both"/>
              <w:rPr>
                <w:rFonts w:ascii="宋体"/>
                <w:color w:val="000000"/>
                <w:sz w:val="21"/>
                <w:szCs w:val="21"/>
              </w:rPr>
            </w:pPr>
          </w:p>
        </w:tc>
        <w:tc>
          <w:tcPr>
            <w:tcW w:w="6237"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120" w:type="dxa"/>
            <w:vAlign w:val="center"/>
          </w:tcPr>
          <w:p>
            <w:pPr>
              <w:pStyle w:val="6"/>
              <w:pBdr>
                <w:bottom w:val="none" w:color="auto" w:sz="0" w:space="0"/>
              </w:pBdr>
              <w:jc w:val="both"/>
              <w:rPr>
                <w:color w:val="000000"/>
                <w:sz w:val="21"/>
                <w:szCs w:val="21"/>
              </w:rPr>
            </w:pPr>
          </w:p>
        </w:tc>
        <w:tc>
          <w:tcPr>
            <w:tcW w:w="1133" w:type="dxa"/>
            <w:vAlign w:val="center"/>
          </w:tcPr>
          <w:p>
            <w:pPr>
              <w:pStyle w:val="6"/>
              <w:pBdr>
                <w:bottom w:val="none" w:color="auto" w:sz="0" w:space="0"/>
              </w:pBdr>
              <w:jc w:val="both"/>
              <w:rPr>
                <w:color w:val="000000"/>
                <w:sz w:val="21"/>
                <w:szCs w:val="21"/>
              </w:rPr>
            </w:pPr>
          </w:p>
        </w:tc>
        <w:tc>
          <w:tcPr>
            <w:tcW w:w="934" w:type="dxa"/>
            <w:vAlign w:val="center"/>
          </w:tcPr>
          <w:p>
            <w:pPr>
              <w:pStyle w:val="6"/>
              <w:pBdr>
                <w:bottom w:val="none" w:color="auto" w:sz="0" w:space="0"/>
              </w:pBdr>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4384" behindDoc="1" locked="0" layoutInCell="1" allowOverlap="1">
                  <wp:simplePos x="0" y="0"/>
                  <wp:positionH relativeFrom="column">
                    <wp:posOffset>403860</wp:posOffset>
                  </wp:positionH>
                  <wp:positionV relativeFrom="paragraph">
                    <wp:posOffset>133350</wp:posOffset>
                  </wp:positionV>
                  <wp:extent cx="1066800" cy="615950"/>
                  <wp:effectExtent l="0" t="0" r="0" b="6350"/>
                  <wp:wrapTight wrapText="bothSides">
                    <wp:wrapPolygon>
                      <wp:start x="0" y="0"/>
                      <wp:lineTo x="0" y="21377"/>
                      <wp:lineTo x="21343" y="21377"/>
                      <wp:lineTo x="21343" y="0"/>
                      <wp:lineTo x="0" y="0"/>
                    </wp:wrapPolygon>
                  </wp:wrapTight>
                  <wp:docPr id="5" name="图片 5"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肖新龙"/>
                          <pic:cNvPicPr>
                            <a:picLocks noChangeAspect="1"/>
                          </pic:cNvPicPr>
                        </pic:nvPicPr>
                        <pic:blipFill>
                          <a:blip r:embed="rId8">
                            <a:lum bright="6000"/>
                          </a:blip>
                          <a:stretch>
                            <a:fillRect/>
                          </a:stretch>
                        </pic:blipFill>
                        <pic:spPr>
                          <a:xfrm>
                            <a:off x="0" y="0"/>
                            <a:ext cx="1066800" cy="615950"/>
                          </a:xfrm>
                          <a:prstGeom prst="rect">
                            <a:avLst/>
                          </a:prstGeom>
                        </pic:spPr>
                      </pic:pic>
                    </a:graphicData>
                  </a:graphic>
                </wp:anchor>
              </w:drawing>
            </w:r>
          </w:p>
          <w:p>
            <w:pPr>
              <w:spacing w:line="280" w:lineRule="exact"/>
              <w:rPr>
                <w:rFonts w:hint="eastAsia" w:eastAsia="宋体"/>
                <w:b/>
                <w:color w:val="000000"/>
                <w:szCs w:val="21"/>
                <w:lang w:eastAsia="zh-CN"/>
              </w:rPr>
            </w:pPr>
          </w:p>
          <w:p>
            <w:pPr>
              <w:spacing w:line="280" w:lineRule="exact"/>
              <w:rPr>
                <w:rFonts w:hint="eastAsia" w:eastAsia="宋体"/>
                <w:b/>
                <w:color w:val="000000"/>
                <w:szCs w:val="21"/>
                <w:lang w:eastAsia="zh-CN"/>
              </w:rPr>
            </w:pPr>
          </w:p>
          <w:p>
            <w:pPr>
              <w:spacing w:line="280" w:lineRule="exact"/>
              <w:rPr>
                <w:rFonts w:hint="eastAsia" w:eastAsia="宋体"/>
                <w:b/>
                <w:color w:val="000000"/>
                <w:szCs w:val="21"/>
                <w:lang w:eastAsia="zh-CN"/>
              </w:rPr>
            </w:pPr>
          </w:p>
          <w:p>
            <w:pPr>
              <w:spacing w:line="280" w:lineRule="exact"/>
              <w:rPr>
                <w:b/>
                <w:color w:val="000000"/>
                <w:szCs w:val="21"/>
              </w:rPr>
            </w:pPr>
          </w:p>
          <w:p>
            <w:pPr>
              <w:spacing w:line="280" w:lineRule="exact"/>
              <w:rPr>
                <w:b/>
                <w:color w:val="000000"/>
                <w:szCs w:val="21"/>
              </w:rPr>
            </w:pPr>
            <w:r>
              <w:rPr>
                <w:rFonts w:hint="eastAsia"/>
                <w:b/>
                <w:color w:val="000000"/>
                <w:szCs w:val="21"/>
              </w:rPr>
              <w:t xml:space="preserve">日期： </w:t>
            </w:r>
            <w:r>
              <w:rPr>
                <w:b/>
                <w:color w:val="000000"/>
                <w:szCs w:val="21"/>
              </w:rPr>
              <w:t xml:space="preserve">  </w:t>
            </w:r>
            <w:r>
              <w:rPr>
                <w:rFonts w:hint="eastAsia"/>
                <w:b/>
                <w:color w:val="000000"/>
                <w:szCs w:val="21"/>
                <w:lang w:val="en-US" w:eastAsia="zh-CN"/>
              </w:rPr>
              <w:t>2022</w:t>
            </w:r>
            <w:r>
              <w:rPr>
                <w:b/>
                <w:color w:val="000000"/>
                <w:szCs w:val="21"/>
              </w:rPr>
              <w:t xml:space="preserve">   </w:t>
            </w:r>
            <w:r>
              <w:rPr>
                <w:rFonts w:hint="eastAsia"/>
                <w:b/>
                <w:color w:val="000000"/>
                <w:szCs w:val="21"/>
              </w:rPr>
              <w:t xml:space="preserve">年 </w:t>
            </w:r>
            <w:r>
              <w:rPr>
                <w:b/>
                <w:color w:val="000000"/>
                <w:szCs w:val="21"/>
              </w:rPr>
              <w:t xml:space="preserve"> </w:t>
            </w:r>
            <w:r>
              <w:rPr>
                <w:rFonts w:hint="eastAsia"/>
                <w:b/>
                <w:color w:val="000000"/>
                <w:szCs w:val="21"/>
                <w:lang w:val="en-US" w:eastAsia="zh-CN"/>
              </w:rPr>
              <w:t>4</w:t>
            </w:r>
            <w:r>
              <w:rPr>
                <w:b/>
                <w:color w:val="000000"/>
                <w:szCs w:val="21"/>
              </w:rPr>
              <w:t xml:space="preserve">  </w:t>
            </w:r>
            <w:r>
              <w:rPr>
                <w:rFonts w:hint="eastAsia"/>
                <w:b/>
                <w:color w:val="000000"/>
                <w:szCs w:val="21"/>
              </w:rPr>
              <w:t xml:space="preserve">月 </w:t>
            </w:r>
            <w:r>
              <w:rPr>
                <w:b/>
                <w:color w:val="000000"/>
                <w:szCs w:val="21"/>
              </w:rPr>
              <w:t xml:space="preserve"> </w:t>
            </w:r>
            <w:r>
              <w:rPr>
                <w:rFonts w:hint="eastAsia"/>
                <w:b/>
                <w:color w:val="000000"/>
                <w:szCs w:val="21"/>
                <w:lang w:val="en-US" w:eastAsia="zh-CN"/>
              </w:rPr>
              <w:t>27</w:t>
            </w:r>
            <w:r>
              <w:rPr>
                <w:b/>
                <w:color w:val="000000"/>
                <w:szCs w:val="21"/>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pStyle w:val="2"/>
              <w:rPr>
                <w:b/>
                <w:color w:val="000000"/>
                <w:szCs w:val="21"/>
              </w:rPr>
            </w:pPr>
          </w:p>
          <w:p>
            <w:pPr>
              <w:pStyle w:val="2"/>
              <w:rPr>
                <w:b/>
                <w:color w:val="000000"/>
                <w:szCs w:val="21"/>
              </w:rPr>
            </w:pPr>
          </w:p>
          <w:p>
            <w:pPr>
              <w:pStyle w:val="2"/>
              <w:rPr>
                <w:b/>
                <w:color w:val="000000"/>
                <w:szCs w:val="21"/>
              </w:rPr>
            </w:pPr>
          </w:p>
          <w:p>
            <w:pPr>
              <w:spacing w:line="280" w:lineRule="exact"/>
              <w:rPr>
                <w:b/>
                <w:color w:val="000000"/>
                <w:szCs w:val="21"/>
              </w:rPr>
            </w:pPr>
            <w:r>
              <w:rPr>
                <w:rFonts w:hint="eastAsia"/>
                <w:b/>
                <w:color w:val="000000"/>
                <w:szCs w:val="21"/>
              </w:rPr>
              <w:t xml:space="preserve">日期： </w:t>
            </w:r>
            <w:r>
              <w:rPr>
                <w:b/>
                <w:color w:val="000000"/>
                <w:szCs w:val="21"/>
              </w:rPr>
              <w:t xml:space="preserve">            </w:t>
            </w:r>
            <w:r>
              <w:rPr>
                <w:rFonts w:hint="eastAsia"/>
                <w:b/>
                <w:color w:val="000000"/>
                <w:szCs w:val="21"/>
              </w:rPr>
              <w:t xml:space="preserve">年 </w:t>
            </w:r>
            <w:r>
              <w:rPr>
                <w:b/>
                <w:color w:val="000000"/>
                <w:szCs w:val="21"/>
              </w:rPr>
              <w:t xml:space="preserve">  </w:t>
            </w:r>
            <w:r>
              <w:rPr>
                <w:rFonts w:hint="eastAsia"/>
                <w:b/>
                <w:color w:val="000000"/>
                <w:szCs w:val="21"/>
              </w:rPr>
              <w:t xml:space="preserve">月 </w:t>
            </w:r>
            <w:r>
              <w:rPr>
                <w:b/>
                <w:color w:val="000000"/>
                <w:szCs w:val="21"/>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宋体" w:eastAsia="宋体"/>
                <w:b/>
                <w:bCs/>
                <w:color w:val="000000"/>
                <w:spacing w:val="-8"/>
                <w:szCs w:val="21"/>
                <w:lang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eastAsia="zh-CN"/>
              </w:rPr>
              <w:t>【</w:t>
            </w:r>
            <w:r>
              <w:rPr>
                <w:rFonts w:hint="eastAsia" w:ascii="宋体" w:hAnsi="宋体"/>
                <w:b/>
                <w:bCs/>
                <w:color w:val="000000"/>
                <w:spacing w:val="-8"/>
                <w:szCs w:val="21"/>
                <w:lang w:val="en-US" w:eastAsia="zh-CN"/>
              </w:rPr>
              <w:t>不适用</w:t>
            </w:r>
            <w:r>
              <w:rPr>
                <w:rFonts w:hint="eastAsia" w:ascii="宋体" w:hAnsi="宋体"/>
                <w:b/>
                <w:bCs/>
                <w:color w:val="000000"/>
                <w:spacing w:val="-8"/>
                <w:szCs w:val="21"/>
                <w:lang w:eastAsia="zh-CN"/>
              </w:rPr>
              <w:t>】</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5408" behindDoc="1" locked="0" layoutInCell="1" allowOverlap="1">
                  <wp:simplePos x="0" y="0"/>
                  <wp:positionH relativeFrom="column">
                    <wp:posOffset>989330</wp:posOffset>
                  </wp:positionH>
                  <wp:positionV relativeFrom="paragraph">
                    <wp:posOffset>39370</wp:posOffset>
                  </wp:positionV>
                  <wp:extent cx="1066800" cy="615950"/>
                  <wp:effectExtent l="0" t="0" r="0" b="6350"/>
                  <wp:wrapTight wrapText="bothSides">
                    <wp:wrapPolygon>
                      <wp:start x="0" y="0"/>
                      <wp:lineTo x="0" y="21377"/>
                      <wp:lineTo x="21343" y="21377"/>
                      <wp:lineTo x="21343" y="0"/>
                      <wp:lineTo x="0" y="0"/>
                    </wp:wrapPolygon>
                  </wp:wrapTight>
                  <wp:docPr id="6" name="图片 6"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肖新龙"/>
                          <pic:cNvPicPr>
                            <a:picLocks noChangeAspect="1"/>
                          </pic:cNvPicPr>
                        </pic:nvPicPr>
                        <pic:blipFill>
                          <a:blip r:embed="rId8">
                            <a:lum bright="6000"/>
                          </a:blip>
                          <a:stretch>
                            <a:fillRect/>
                          </a:stretch>
                        </pic:blipFill>
                        <pic:spPr>
                          <a:xfrm>
                            <a:off x="0" y="0"/>
                            <a:ext cx="1066800" cy="615950"/>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 xml:space="preserve">验证人： </w:t>
            </w:r>
            <w:r>
              <w:rPr>
                <w:b/>
                <w:color w:val="000000"/>
                <w:szCs w:val="21"/>
              </w:rPr>
              <w:t xml:space="preserve">                            </w:t>
            </w:r>
            <w:r>
              <w:rPr>
                <w:rFonts w:hint="eastAsia"/>
                <w:b/>
                <w:color w:val="000000"/>
                <w:szCs w:val="21"/>
                <w:lang w:val="en-US" w:eastAsia="zh-CN"/>
              </w:rPr>
              <w:t>2022</w:t>
            </w:r>
            <w:r>
              <w:rPr>
                <w:b/>
                <w:color w:val="000000"/>
                <w:szCs w:val="21"/>
              </w:rPr>
              <w:t xml:space="preserve">   </w:t>
            </w:r>
            <w:r>
              <w:rPr>
                <w:rFonts w:hint="eastAsia"/>
                <w:b/>
                <w:color w:val="000000"/>
                <w:szCs w:val="21"/>
              </w:rPr>
              <w:t xml:space="preserve">年 </w:t>
            </w:r>
            <w:r>
              <w:rPr>
                <w:b/>
                <w:color w:val="000000"/>
                <w:szCs w:val="21"/>
              </w:rPr>
              <w:t xml:space="preserve"> </w:t>
            </w:r>
            <w:r>
              <w:rPr>
                <w:rFonts w:hint="eastAsia"/>
                <w:b/>
                <w:color w:val="000000"/>
                <w:szCs w:val="21"/>
                <w:lang w:val="en-US" w:eastAsia="zh-CN"/>
              </w:rPr>
              <w:t>4</w:t>
            </w:r>
            <w:r>
              <w:rPr>
                <w:b/>
                <w:color w:val="000000"/>
                <w:szCs w:val="21"/>
              </w:rPr>
              <w:t xml:space="preserve">  </w:t>
            </w:r>
            <w:r>
              <w:rPr>
                <w:rFonts w:hint="eastAsia"/>
                <w:b/>
                <w:color w:val="000000"/>
                <w:szCs w:val="21"/>
              </w:rPr>
              <w:t xml:space="preserve">月 </w:t>
            </w:r>
            <w:r>
              <w:rPr>
                <w:b/>
                <w:color w:val="000000"/>
                <w:szCs w:val="21"/>
              </w:rPr>
              <w:t xml:space="preserve"> </w:t>
            </w:r>
            <w:r>
              <w:rPr>
                <w:rFonts w:hint="eastAsia"/>
                <w:b/>
                <w:color w:val="000000"/>
                <w:szCs w:val="21"/>
                <w:lang w:val="en-US" w:eastAsia="zh-CN"/>
              </w:rPr>
              <w:t>27</w:t>
            </w:r>
            <w:r>
              <w:rPr>
                <w:b/>
                <w:color w:val="000000"/>
                <w:szCs w:val="21"/>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pStyle w:val="2"/>
        <w:rPr>
          <w:rFonts w:ascii="宋体"/>
          <w:b/>
          <w:color w:val="000000"/>
          <w:szCs w:val="21"/>
        </w:rPr>
      </w:pPr>
    </w:p>
    <w:p>
      <w:pPr>
        <w:pStyle w:val="2"/>
        <w:rPr>
          <w:rFonts w:ascii="宋体"/>
          <w:b/>
          <w:color w:val="000000"/>
          <w:szCs w:val="21"/>
        </w:rPr>
      </w:pPr>
      <w:r>
        <w:drawing>
          <wp:inline distT="0" distB="0" distL="114300" distR="114300">
            <wp:extent cx="4716145" cy="5268595"/>
            <wp:effectExtent l="0" t="0" r="8255" b="190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a:stretch>
                      <a:fillRect/>
                    </a:stretch>
                  </pic:blipFill>
                  <pic:spPr>
                    <a:xfrm>
                      <a:off x="0" y="0"/>
                      <a:ext cx="4716145" cy="5268595"/>
                    </a:xfrm>
                    <a:prstGeom prst="rect">
                      <a:avLst/>
                    </a:prstGeom>
                    <a:noFill/>
                    <a:ln>
                      <a:noFill/>
                    </a:ln>
                  </pic:spPr>
                </pic:pic>
              </a:graphicData>
            </a:graphic>
          </wp:inline>
        </w:drawing>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C7B1A21"/>
    <w:rsid w:val="1FA82412"/>
    <w:rsid w:val="37AE5455"/>
    <w:rsid w:val="456C2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2"/>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2022-05-05T05:24:03Z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