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0241-2022-QF</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2"/>
        <w:gridCol w:w="166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4742"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河南新天豫食品有限公司</w:t>
            </w:r>
            <w:bookmarkEnd w:id="1"/>
          </w:p>
        </w:tc>
        <w:tc>
          <w:tcPr>
            <w:tcW w:w="1668"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42" w:type="dxa"/>
            <w:gridSpan w:val="3"/>
          </w:tcPr>
          <w:p>
            <w:pPr>
              <w:snapToGrid w:val="0"/>
              <w:spacing w:line="0" w:lineRule="atLeast"/>
              <w:jc w:val="center"/>
              <w:rPr>
                <w:sz w:val="22"/>
                <w:szCs w:val="22"/>
              </w:rPr>
            </w:pPr>
          </w:p>
        </w:tc>
        <w:tc>
          <w:tcPr>
            <w:tcW w:w="1668"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42" w:type="dxa"/>
            <w:gridSpan w:val="3"/>
          </w:tcPr>
          <w:p>
            <w:pPr>
              <w:snapToGrid w:val="0"/>
              <w:spacing w:line="0" w:lineRule="atLeast"/>
              <w:jc w:val="center"/>
              <w:rPr>
                <w:sz w:val="22"/>
                <w:szCs w:val="22"/>
              </w:rPr>
            </w:pPr>
            <w:bookmarkStart w:id="4" w:name="机构代码"/>
            <w:r>
              <w:rPr>
                <w:sz w:val="22"/>
                <w:szCs w:val="22"/>
                <w:shd w:val="clear"/>
              </w:rPr>
              <w:t>91411330MA46DHFX21</w:t>
            </w:r>
            <w:bookmarkEnd w:id="4"/>
          </w:p>
        </w:tc>
        <w:tc>
          <w:tcPr>
            <w:tcW w:w="1668"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sym w:font="Wingdings 2" w:char="00A3"/>
            </w:r>
            <w:r>
              <w:rPr>
                <w:rFonts w:hint="eastAsia"/>
                <w:sz w:val="22"/>
                <w:szCs w:val="22"/>
              </w:rPr>
              <w:t xml:space="preserve">带标  </w:t>
            </w:r>
            <w:r>
              <w:rPr>
                <w:rFonts w:hint="eastAsia"/>
                <w:sz w:val="22"/>
                <w:szCs w:val="22"/>
              </w:rPr>
              <w:sym w:font="Wingdings 2" w:char="00A3"/>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42" w:type="dxa"/>
            <w:gridSpan w:val="3"/>
          </w:tcPr>
          <w:p>
            <w:pPr>
              <w:shd w:val="clea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hd w:val="clea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668"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shd w:val="clear"/>
              </w:rPr>
              <w:t>Q:90,F:90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初次认证</w:t>
            </w:r>
            <w:bookmarkStart w:id="13" w:name="监督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监督审核</w:t>
            </w:r>
            <w:bookmarkStart w:id="14" w:name="再认证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再认证</w:t>
            </w:r>
            <w:bookmarkStart w:id="15" w:name="特殊审核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shd w:val="clear" w:color="auto" w:fill="auto"/>
          </w:tcPr>
          <w:p>
            <w:pPr>
              <w:snapToGrid w:val="0"/>
              <w:spacing w:line="0" w:lineRule="atLeast"/>
              <w:jc w:val="left"/>
              <w:rPr>
                <w:sz w:val="22"/>
                <w:szCs w:val="22"/>
              </w:rPr>
            </w:pPr>
            <w:r>
              <w:rPr>
                <w:rFonts w:hint="eastAsia"/>
                <w:sz w:val="22"/>
                <w:szCs w:val="22"/>
                <w:lang w:val="en-GB"/>
              </w:rPr>
              <w:t>公司名称</w:t>
            </w:r>
          </w:p>
        </w:tc>
        <w:tc>
          <w:tcPr>
            <w:tcW w:w="3373" w:type="dxa"/>
            <w:shd w:val="clear" w:color="auto" w:fill="auto"/>
          </w:tcPr>
          <w:p>
            <w:pPr>
              <w:snapToGrid w:val="0"/>
              <w:spacing w:line="0" w:lineRule="atLeast"/>
              <w:jc w:val="left"/>
              <w:rPr>
                <w:sz w:val="22"/>
                <w:szCs w:val="22"/>
                <w:lang w:val="en-GB"/>
              </w:rPr>
            </w:pPr>
            <w:bookmarkStart w:id="16" w:name="组织名称Add1"/>
            <w:r>
              <w:rPr>
                <w:rFonts w:hint="eastAsia"/>
                <w:sz w:val="22"/>
                <w:szCs w:val="22"/>
              </w:rPr>
              <w:t>河南新天豫食品有限公司</w:t>
            </w:r>
            <w:bookmarkEnd w:id="16"/>
          </w:p>
        </w:tc>
        <w:tc>
          <w:tcPr>
            <w:tcW w:w="5013" w:type="dxa"/>
            <w:gridSpan w:val="4"/>
            <w:vMerge w:val="restart"/>
            <w:shd w:val="clear" w:color="auto" w:fill="auto"/>
          </w:tcPr>
          <w:p>
            <w:pPr>
              <w:snapToGrid w:val="0"/>
              <w:spacing w:line="0" w:lineRule="atLeast"/>
              <w:jc w:val="left"/>
              <w:rPr>
                <w:sz w:val="22"/>
                <w:szCs w:val="22"/>
              </w:rPr>
            </w:pPr>
            <w:bookmarkStart w:id="17" w:name="审核范围"/>
            <w:r>
              <w:rPr>
                <w:sz w:val="22"/>
                <w:szCs w:val="22"/>
              </w:rPr>
              <w:t>Q：淀粉制品（粉条、水晶粉丝）的生产</w:t>
            </w:r>
          </w:p>
          <w:p>
            <w:pPr>
              <w:snapToGrid w:val="0"/>
              <w:spacing w:line="0" w:lineRule="atLeast"/>
              <w:jc w:val="left"/>
              <w:rPr>
                <w:sz w:val="22"/>
                <w:szCs w:val="22"/>
              </w:rPr>
            </w:pPr>
            <w:r>
              <w:rPr>
                <w:sz w:val="22"/>
                <w:szCs w:val="22"/>
              </w:rPr>
              <w:t>F：位于河南省周口市郸城县汲冢镇周口国家农业科技园区001号河南新天豫食品有限公司生产车间的淀粉制品（粉条、水晶粉丝）的生产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auto"/>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auto"/>
          </w:tcPr>
          <w:p>
            <w:pPr>
              <w:snapToGrid w:val="0"/>
              <w:spacing w:line="0" w:lineRule="atLeast"/>
              <w:jc w:val="left"/>
              <w:rPr>
                <w:sz w:val="22"/>
                <w:szCs w:val="22"/>
              </w:rPr>
            </w:pPr>
            <w:bookmarkStart w:id="18" w:name="注册地址"/>
            <w:r>
              <w:rPr>
                <w:rFonts w:hint="eastAsia"/>
                <w:sz w:val="22"/>
                <w:szCs w:val="22"/>
                <w:lang w:val="en-GB"/>
              </w:rPr>
              <w:t>河南省周口市郸城县汲冢镇周口国家农业科技园区001号</w:t>
            </w:r>
            <w:bookmarkEnd w:id="18"/>
          </w:p>
        </w:tc>
        <w:tc>
          <w:tcPr>
            <w:tcW w:w="5013" w:type="dxa"/>
            <w:gridSpan w:val="4"/>
            <w:vMerge w:val="continue"/>
            <w:shd w:val="clear" w:color="auto" w:fill="auto"/>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auto"/>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auto"/>
          </w:tcPr>
          <w:p>
            <w:pPr>
              <w:snapToGrid w:val="0"/>
              <w:spacing w:line="0" w:lineRule="atLeast"/>
              <w:jc w:val="left"/>
              <w:rPr>
                <w:sz w:val="22"/>
                <w:szCs w:val="22"/>
              </w:rPr>
            </w:pPr>
            <w:bookmarkStart w:id="19" w:name="办公地址"/>
            <w:r>
              <w:rPr>
                <w:rFonts w:hint="eastAsia"/>
                <w:sz w:val="22"/>
                <w:szCs w:val="22"/>
                <w:lang w:val="en-GB"/>
              </w:rPr>
              <w:t>河南省周口市郸城县汲冢镇周口国家农业科技园区001号</w:t>
            </w:r>
            <w:bookmarkEnd w:id="19"/>
          </w:p>
        </w:tc>
        <w:tc>
          <w:tcPr>
            <w:tcW w:w="5013" w:type="dxa"/>
            <w:gridSpan w:val="4"/>
            <w:vMerge w:val="continue"/>
            <w:shd w:val="clear" w:color="auto" w:fill="auto"/>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76" w:type="dxa"/>
            <w:vMerge w:val="restart"/>
            <w:shd w:val="clear" w:color="auto" w:fill="auto"/>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shd w:val="clear" w:color="auto" w:fill="auto"/>
          </w:tcPr>
          <w:p>
            <w:pPr>
              <w:snapToGrid w:val="0"/>
              <w:spacing w:line="0" w:lineRule="atLeast"/>
              <w:jc w:val="left"/>
              <w:rPr>
                <w:rFonts w:hint="eastAsia" w:eastAsia="宋体"/>
                <w:sz w:val="22"/>
                <w:szCs w:val="22"/>
                <w:highlight w:val="none"/>
                <w:lang w:val="en-US" w:eastAsia="zh-CN"/>
              </w:rPr>
            </w:pPr>
            <w:r>
              <w:rPr>
                <w:rFonts w:hint="eastAsia"/>
                <w:sz w:val="22"/>
                <w:szCs w:val="22"/>
                <w:highlight w:val="none"/>
              </w:rPr>
              <w:t>Henan Xin Tianyu Food Co., Ltd</w:t>
            </w:r>
            <w:r>
              <w:rPr>
                <w:rFonts w:hint="eastAsia"/>
                <w:sz w:val="22"/>
                <w:szCs w:val="22"/>
                <w:highlight w:val="none"/>
                <w:lang w:val="en-US" w:eastAsia="zh-CN"/>
              </w:rPr>
              <w:t>.</w:t>
            </w:r>
          </w:p>
        </w:tc>
        <w:tc>
          <w:tcPr>
            <w:tcW w:w="1337" w:type="dxa"/>
            <w:shd w:val="clear" w:color="auto" w:fill="auto"/>
          </w:tcPr>
          <w:p>
            <w:pPr>
              <w:snapToGrid w:val="0"/>
              <w:spacing w:line="0" w:lineRule="atLeast"/>
              <w:jc w:val="left"/>
              <w:rPr>
                <w:sz w:val="22"/>
                <w:szCs w:val="22"/>
                <w:highlight w:val="none"/>
              </w:rPr>
            </w:pPr>
            <w:r>
              <w:rPr>
                <w:rFonts w:hint="eastAsia"/>
                <w:sz w:val="22"/>
                <w:szCs w:val="22"/>
                <w:highlight w:val="none"/>
              </w:rPr>
              <w:t>QMS</w:t>
            </w:r>
          </w:p>
        </w:tc>
        <w:tc>
          <w:tcPr>
            <w:tcW w:w="3676" w:type="dxa"/>
            <w:gridSpan w:val="3"/>
            <w:shd w:val="clear" w:color="auto" w:fill="auto"/>
          </w:tcPr>
          <w:p>
            <w:pPr>
              <w:snapToGrid w:val="0"/>
              <w:spacing w:line="0" w:lineRule="atLeast"/>
              <w:jc w:val="left"/>
              <w:rPr>
                <w:rFonts w:hint="eastAsia" w:eastAsia="宋体"/>
                <w:sz w:val="21"/>
                <w:szCs w:val="16"/>
                <w:highlight w:val="none"/>
                <w:lang w:eastAsia="zh-CN"/>
              </w:rPr>
            </w:pPr>
            <w:r>
              <w:rPr>
                <w:rFonts w:hint="eastAsia" w:eastAsia="宋体"/>
                <w:sz w:val="21"/>
                <w:szCs w:val="16"/>
                <w:highlight w:val="none"/>
                <w:lang w:eastAsia="zh-CN"/>
              </w:rPr>
              <w:t xml:space="preserve">Production of </w:t>
            </w:r>
            <w:r>
              <w:rPr>
                <w:rFonts w:hint="eastAsia"/>
                <w:sz w:val="21"/>
                <w:szCs w:val="16"/>
                <w:highlight w:val="none"/>
                <w:lang w:val="en-US" w:eastAsia="zh-CN"/>
              </w:rPr>
              <w:t>S</w:t>
            </w:r>
            <w:r>
              <w:rPr>
                <w:rFonts w:hint="eastAsia" w:eastAsia="宋体"/>
                <w:sz w:val="21"/>
                <w:szCs w:val="16"/>
                <w:highlight w:val="none"/>
                <w:lang w:eastAsia="zh-CN"/>
              </w:rPr>
              <w:t xml:space="preserve">tarch </w:t>
            </w:r>
            <w:r>
              <w:rPr>
                <w:rFonts w:hint="eastAsia"/>
                <w:sz w:val="21"/>
                <w:szCs w:val="16"/>
                <w:highlight w:val="none"/>
                <w:lang w:val="en-US" w:eastAsia="zh-CN"/>
              </w:rPr>
              <w:t>P</w:t>
            </w:r>
            <w:r>
              <w:rPr>
                <w:rFonts w:hint="eastAsia" w:eastAsia="宋体"/>
                <w:sz w:val="21"/>
                <w:szCs w:val="16"/>
                <w:highlight w:val="none"/>
                <w:lang w:eastAsia="zh-CN"/>
              </w:rPr>
              <w:t>roducts (</w:t>
            </w:r>
            <w:r>
              <w:rPr>
                <w:rFonts w:hint="eastAsia"/>
                <w:sz w:val="21"/>
                <w:szCs w:val="16"/>
                <w:highlight w:val="none"/>
                <w:lang w:val="en-US" w:eastAsia="zh-CN"/>
              </w:rPr>
              <w:t>V</w:t>
            </w:r>
            <w:r>
              <w:rPr>
                <w:rFonts w:hint="eastAsia" w:eastAsia="宋体"/>
                <w:sz w:val="21"/>
                <w:szCs w:val="16"/>
                <w:highlight w:val="none"/>
                <w:lang w:eastAsia="zh-CN"/>
              </w:rPr>
              <w:t xml:space="preserve">ermicelli, </w:t>
            </w:r>
            <w:r>
              <w:rPr>
                <w:rFonts w:hint="eastAsia"/>
                <w:sz w:val="21"/>
                <w:szCs w:val="16"/>
                <w:highlight w:val="none"/>
                <w:lang w:val="en-US" w:eastAsia="zh-CN"/>
              </w:rPr>
              <w:t>C</w:t>
            </w:r>
            <w:r>
              <w:rPr>
                <w:rFonts w:hint="eastAsia" w:eastAsia="宋体"/>
                <w:sz w:val="21"/>
                <w:szCs w:val="16"/>
                <w:highlight w:val="none"/>
                <w:lang w:eastAsia="zh-CN"/>
              </w:rPr>
              <w:t xml:space="preserve">rystal </w:t>
            </w:r>
            <w:r>
              <w:rPr>
                <w:rFonts w:hint="eastAsia"/>
                <w:sz w:val="21"/>
                <w:szCs w:val="16"/>
                <w:highlight w:val="none"/>
                <w:lang w:val="en-US" w:eastAsia="zh-CN"/>
              </w:rPr>
              <w:t>V</w:t>
            </w:r>
            <w:r>
              <w:rPr>
                <w:rFonts w:hint="eastAsia" w:eastAsia="宋体"/>
                <w:sz w:val="21"/>
                <w:szCs w:val="16"/>
                <w:highlight w:val="none"/>
                <w:lang w:eastAsia="zh-CN"/>
              </w:rPr>
              <w:t>ermicelli)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76" w:type="dxa"/>
            <w:vMerge w:val="continue"/>
            <w:shd w:val="clear" w:color="auto" w:fill="auto"/>
          </w:tcPr>
          <w:p>
            <w:pPr>
              <w:snapToGrid w:val="0"/>
              <w:spacing w:line="0" w:lineRule="atLeast"/>
              <w:jc w:val="left"/>
              <w:rPr>
                <w:rFonts w:cs="Arial"/>
                <w:b/>
                <w:bCs/>
                <w:sz w:val="22"/>
                <w:szCs w:val="16"/>
                <w:highlight w:val="none"/>
              </w:rPr>
            </w:pPr>
          </w:p>
        </w:tc>
        <w:tc>
          <w:tcPr>
            <w:tcW w:w="3373" w:type="dxa"/>
            <w:vMerge w:val="continue"/>
            <w:shd w:val="clear" w:color="auto" w:fill="auto"/>
          </w:tcPr>
          <w:p>
            <w:pPr>
              <w:snapToGrid w:val="0"/>
              <w:spacing w:line="0" w:lineRule="atLeast"/>
              <w:jc w:val="left"/>
              <w:rPr>
                <w:rFonts w:cs="Arial"/>
                <w:b/>
                <w:bCs/>
                <w:sz w:val="22"/>
                <w:szCs w:val="16"/>
                <w:highlight w:val="none"/>
              </w:rPr>
            </w:pPr>
          </w:p>
        </w:tc>
        <w:tc>
          <w:tcPr>
            <w:tcW w:w="1337" w:type="dxa"/>
            <w:shd w:val="clear" w:color="auto" w:fill="auto"/>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shd w:val="clear" w:color="auto" w:fill="auto"/>
          </w:tcPr>
          <w:p>
            <w:pPr>
              <w:snapToGrid w:val="0"/>
              <w:spacing w:line="0" w:lineRule="atLeast"/>
              <w:jc w:val="left"/>
              <w:rPr>
                <w:rFonts w:hint="eastAsia" w:eastAsia="宋体"/>
                <w:sz w:val="21"/>
                <w:szCs w:val="16"/>
                <w:highlight w:val="none"/>
                <w:lang w:eastAsia="zh-CN"/>
              </w:rPr>
            </w:pPr>
            <w:r>
              <w:rPr>
                <w:rFonts w:hint="eastAsia"/>
                <w:sz w:val="21"/>
                <w:szCs w:val="16"/>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auto"/>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shd w:val="clear" w:color="auto" w:fill="auto"/>
          </w:tcPr>
          <w:p>
            <w:pPr>
              <w:snapToGrid w:val="0"/>
              <w:spacing w:line="0" w:lineRule="atLeast"/>
              <w:jc w:val="left"/>
              <w:rPr>
                <w:sz w:val="22"/>
                <w:szCs w:val="22"/>
                <w:highlight w:val="none"/>
              </w:rPr>
            </w:pPr>
            <w:r>
              <w:rPr>
                <w:rFonts w:hint="eastAsia"/>
                <w:sz w:val="22"/>
                <w:szCs w:val="22"/>
                <w:highlight w:val="none"/>
              </w:rPr>
              <w:t>No. 001, Zhoukou National Agricultural Science and Technology Park, Ji</w:t>
            </w:r>
            <w:r>
              <w:rPr>
                <w:rFonts w:hint="eastAsia"/>
                <w:sz w:val="22"/>
                <w:szCs w:val="22"/>
                <w:highlight w:val="none"/>
                <w:lang w:val="en-US" w:eastAsia="zh-CN"/>
              </w:rPr>
              <w:t>zhong</w:t>
            </w:r>
            <w:r>
              <w:rPr>
                <w:rFonts w:hint="eastAsia"/>
                <w:sz w:val="22"/>
                <w:szCs w:val="22"/>
                <w:highlight w:val="none"/>
              </w:rPr>
              <w:t xml:space="preserve"> Town, </w:t>
            </w:r>
            <w:r>
              <w:rPr>
                <w:rFonts w:hint="eastAsia"/>
                <w:sz w:val="22"/>
                <w:szCs w:val="22"/>
                <w:highlight w:val="none"/>
                <w:lang w:val="en-US" w:eastAsia="zh-CN"/>
              </w:rPr>
              <w:t>D</w:t>
            </w:r>
            <w:r>
              <w:rPr>
                <w:rFonts w:hint="eastAsia"/>
                <w:sz w:val="22"/>
                <w:szCs w:val="22"/>
                <w:highlight w:val="none"/>
              </w:rPr>
              <w:t>ancheng County, Zhoukou City, Henan Province</w:t>
            </w:r>
          </w:p>
        </w:tc>
        <w:tc>
          <w:tcPr>
            <w:tcW w:w="1337" w:type="dxa"/>
            <w:shd w:val="clear" w:color="auto" w:fill="auto"/>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shd w:val="clear" w:color="auto" w:fill="auto"/>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76" w:type="dxa"/>
            <w:vMerge w:val="continue"/>
            <w:shd w:val="clear" w:color="auto" w:fill="auto"/>
          </w:tcPr>
          <w:p>
            <w:pPr>
              <w:snapToGrid w:val="0"/>
              <w:spacing w:line="0" w:lineRule="atLeast"/>
              <w:jc w:val="left"/>
              <w:rPr>
                <w:sz w:val="22"/>
                <w:szCs w:val="16"/>
                <w:highlight w:val="none"/>
              </w:rPr>
            </w:pPr>
          </w:p>
        </w:tc>
        <w:tc>
          <w:tcPr>
            <w:tcW w:w="3373" w:type="dxa"/>
            <w:vMerge w:val="continue"/>
            <w:shd w:val="clear" w:color="auto" w:fill="auto"/>
          </w:tcPr>
          <w:p>
            <w:pPr>
              <w:snapToGrid w:val="0"/>
              <w:spacing w:line="0" w:lineRule="atLeast"/>
              <w:jc w:val="left"/>
              <w:rPr>
                <w:rFonts w:cs="Arial"/>
                <w:b/>
                <w:bCs/>
                <w:sz w:val="22"/>
                <w:szCs w:val="16"/>
                <w:highlight w:val="none"/>
              </w:rPr>
            </w:pPr>
          </w:p>
        </w:tc>
        <w:tc>
          <w:tcPr>
            <w:tcW w:w="1337" w:type="dxa"/>
            <w:shd w:val="clear" w:color="auto" w:fill="auto"/>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shd w:val="clear" w:color="auto" w:fill="auto"/>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576" w:type="dxa"/>
            <w:vMerge w:val="restart"/>
            <w:shd w:val="clear" w:color="auto" w:fill="auto"/>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shd w:val="clear" w:color="auto" w:fill="auto"/>
          </w:tcPr>
          <w:p>
            <w:pPr>
              <w:snapToGrid w:val="0"/>
              <w:spacing w:line="0" w:lineRule="atLeast"/>
              <w:jc w:val="left"/>
              <w:rPr>
                <w:sz w:val="22"/>
                <w:szCs w:val="22"/>
                <w:highlight w:val="none"/>
              </w:rPr>
            </w:pPr>
            <w:r>
              <w:rPr>
                <w:rFonts w:hint="eastAsia"/>
                <w:sz w:val="22"/>
                <w:szCs w:val="22"/>
                <w:highlight w:val="none"/>
              </w:rPr>
              <w:t>No. 001, Zhoukou National Agricultural Science and Technology Park, Ji</w:t>
            </w:r>
            <w:r>
              <w:rPr>
                <w:rFonts w:hint="eastAsia"/>
                <w:sz w:val="22"/>
                <w:szCs w:val="22"/>
                <w:highlight w:val="none"/>
                <w:lang w:val="en-US" w:eastAsia="zh-CN"/>
              </w:rPr>
              <w:t>zhong</w:t>
            </w:r>
            <w:r>
              <w:rPr>
                <w:rFonts w:hint="eastAsia"/>
                <w:sz w:val="22"/>
                <w:szCs w:val="22"/>
                <w:highlight w:val="none"/>
              </w:rPr>
              <w:t xml:space="preserve"> Town, </w:t>
            </w:r>
            <w:r>
              <w:rPr>
                <w:rFonts w:hint="eastAsia"/>
                <w:sz w:val="22"/>
                <w:szCs w:val="22"/>
                <w:highlight w:val="none"/>
                <w:lang w:val="en-US" w:eastAsia="zh-CN"/>
              </w:rPr>
              <w:t>D</w:t>
            </w:r>
            <w:r>
              <w:rPr>
                <w:rFonts w:hint="eastAsia"/>
                <w:sz w:val="22"/>
                <w:szCs w:val="22"/>
                <w:highlight w:val="none"/>
              </w:rPr>
              <w:t>ancheng County, Zhoukou City, Henan Province</w:t>
            </w:r>
          </w:p>
        </w:tc>
        <w:tc>
          <w:tcPr>
            <w:tcW w:w="1337" w:type="dxa"/>
            <w:shd w:val="clear" w:color="auto" w:fill="auto"/>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shd w:val="clear" w:color="auto" w:fill="auto"/>
          </w:tcPr>
          <w:p>
            <w:pPr>
              <w:snapToGrid w:val="0"/>
              <w:spacing w:line="0" w:lineRule="atLeast"/>
              <w:jc w:val="left"/>
              <w:rPr>
                <w:sz w:val="22"/>
                <w:szCs w:val="22"/>
                <w:highlight w:val="none"/>
              </w:rPr>
            </w:pPr>
            <w:r>
              <w:rPr>
                <w:rFonts w:hint="eastAsia"/>
                <w:sz w:val="22"/>
                <w:szCs w:val="22"/>
                <w:highlight w:val="none"/>
              </w:rPr>
              <w:t xml:space="preserve">The </w:t>
            </w:r>
            <w:r>
              <w:rPr>
                <w:rFonts w:hint="eastAsia"/>
                <w:sz w:val="22"/>
                <w:szCs w:val="22"/>
                <w:highlight w:val="none"/>
                <w:lang w:val="en-US" w:eastAsia="zh-CN"/>
              </w:rPr>
              <w:t>P</w:t>
            </w:r>
            <w:r>
              <w:rPr>
                <w:rFonts w:hint="eastAsia"/>
                <w:sz w:val="22"/>
                <w:szCs w:val="22"/>
                <w:highlight w:val="none"/>
              </w:rPr>
              <w:t xml:space="preserve">roduction of </w:t>
            </w:r>
            <w:r>
              <w:rPr>
                <w:rFonts w:hint="eastAsia"/>
                <w:sz w:val="22"/>
                <w:szCs w:val="22"/>
                <w:highlight w:val="none"/>
                <w:lang w:val="en-US" w:eastAsia="zh-CN"/>
              </w:rPr>
              <w:t>S</w:t>
            </w:r>
            <w:r>
              <w:rPr>
                <w:rFonts w:hint="eastAsia"/>
                <w:sz w:val="22"/>
                <w:szCs w:val="22"/>
                <w:highlight w:val="none"/>
              </w:rPr>
              <w:t xml:space="preserve">tarch </w:t>
            </w:r>
            <w:r>
              <w:rPr>
                <w:rFonts w:hint="eastAsia"/>
                <w:sz w:val="22"/>
                <w:szCs w:val="22"/>
                <w:highlight w:val="none"/>
                <w:lang w:val="en-US" w:eastAsia="zh-CN"/>
              </w:rPr>
              <w:t>P</w:t>
            </w:r>
            <w:r>
              <w:rPr>
                <w:rFonts w:hint="eastAsia"/>
                <w:sz w:val="22"/>
                <w:szCs w:val="22"/>
                <w:highlight w:val="none"/>
              </w:rPr>
              <w:t>roducts (</w:t>
            </w:r>
            <w:r>
              <w:rPr>
                <w:rFonts w:hint="eastAsia"/>
                <w:sz w:val="22"/>
                <w:szCs w:val="22"/>
                <w:highlight w:val="none"/>
                <w:lang w:val="en-US" w:eastAsia="zh-CN"/>
              </w:rPr>
              <w:t>V</w:t>
            </w:r>
            <w:r>
              <w:rPr>
                <w:rFonts w:hint="eastAsia"/>
                <w:sz w:val="22"/>
                <w:szCs w:val="22"/>
                <w:highlight w:val="none"/>
              </w:rPr>
              <w:t xml:space="preserve">ermicelli, </w:t>
            </w:r>
            <w:r>
              <w:rPr>
                <w:rFonts w:hint="eastAsia"/>
                <w:sz w:val="22"/>
                <w:szCs w:val="22"/>
                <w:highlight w:val="none"/>
                <w:lang w:val="en-US" w:eastAsia="zh-CN"/>
              </w:rPr>
              <w:t>C</w:t>
            </w:r>
            <w:r>
              <w:rPr>
                <w:rFonts w:hint="eastAsia"/>
                <w:sz w:val="22"/>
                <w:szCs w:val="22"/>
                <w:highlight w:val="none"/>
              </w:rPr>
              <w:t xml:space="preserve">rystal </w:t>
            </w:r>
            <w:r>
              <w:rPr>
                <w:rFonts w:hint="eastAsia"/>
                <w:sz w:val="22"/>
                <w:szCs w:val="22"/>
                <w:highlight w:val="none"/>
                <w:lang w:val="en-US" w:eastAsia="zh-CN"/>
              </w:rPr>
              <w:t>V</w:t>
            </w:r>
            <w:r>
              <w:rPr>
                <w:rFonts w:hint="eastAsia"/>
                <w:sz w:val="22"/>
                <w:szCs w:val="22"/>
                <w:highlight w:val="none"/>
              </w:rPr>
              <w:t xml:space="preserve">ermicelli) in the </w:t>
            </w:r>
            <w:r>
              <w:rPr>
                <w:rFonts w:hint="eastAsia"/>
                <w:sz w:val="22"/>
                <w:szCs w:val="22"/>
                <w:highlight w:val="none"/>
                <w:lang w:val="en-US" w:eastAsia="zh-CN"/>
              </w:rPr>
              <w:t>P</w:t>
            </w:r>
            <w:r>
              <w:rPr>
                <w:rFonts w:hint="eastAsia"/>
                <w:sz w:val="22"/>
                <w:szCs w:val="22"/>
                <w:highlight w:val="none"/>
              </w:rPr>
              <w:t xml:space="preserve">roduction </w:t>
            </w:r>
            <w:r>
              <w:rPr>
                <w:rFonts w:hint="eastAsia"/>
                <w:sz w:val="22"/>
                <w:szCs w:val="22"/>
                <w:highlight w:val="none"/>
                <w:lang w:val="en-US" w:eastAsia="zh-CN"/>
              </w:rPr>
              <w:t>W</w:t>
            </w:r>
            <w:r>
              <w:rPr>
                <w:rFonts w:hint="eastAsia"/>
                <w:sz w:val="22"/>
                <w:szCs w:val="22"/>
                <w:highlight w:val="none"/>
              </w:rPr>
              <w:t>orkshop of</w:t>
            </w:r>
            <w:r>
              <w:rPr>
                <w:rFonts w:hint="eastAsia"/>
                <w:sz w:val="22"/>
                <w:szCs w:val="22"/>
                <w:highlight w:val="none"/>
                <w:lang w:val="en-US" w:eastAsia="zh-CN"/>
              </w:rPr>
              <w:t xml:space="preserve"> </w:t>
            </w:r>
            <w:r>
              <w:rPr>
                <w:rFonts w:hint="eastAsia"/>
                <w:sz w:val="22"/>
                <w:szCs w:val="22"/>
                <w:highlight w:val="none"/>
              </w:rPr>
              <w:t>Henan Xin Tianyu Food Co., Ltd., No. 001, Zhoukou National Agricultural Science and Technology Park, Ji</w:t>
            </w:r>
            <w:r>
              <w:rPr>
                <w:rFonts w:hint="eastAsia"/>
                <w:sz w:val="22"/>
                <w:szCs w:val="22"/>
                <w:highlight w:val="none"/>
                <w:lang w:val="en-US" w:eastAsia="zh-CN"/>
              </w:rPr>
              <w:t>zhong</w:t>
            </w:r>
            <w:r>
              <w:rPr>
                <w:rFonts w:hint="eastAsia"/>
                <w:sz w:val="22"/>
                <w:szCs w:val="22"/>
                <w:highlight w:val="none"/>
              </w:rPr>
              <w:t xml:space="preserve"> Town, </w:t>
            </w:r>
            <w:r>
              <w:rPr>
                <w:rFonts w:hint="eastAsia"/>
                <w:sz w:val="22"/>
                <w:szCs w:val="22"/>
                <w:highlight w:val="none"/>
                <w:lang w:val="en-US" w:eastAsia="zh-CN"/>
              </w:rPr>
              <w:t>D</w:t>
            </w:r>
            <w:r>
              <w:rPr>
                <w:rFonts w:hint="eastAsia"/>
                <w:sz w:val="22"/>
                <w:szCs w:val="22"/>
                <w:highlight w:val="none"/>
              </w:rPr>
              <w:t>ancheng County, Zhoukou City, Henan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42"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68"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1113155" cy="644525"/>
                  <wp:effectExtent l="0" t="0" r="4445" b="3175"/>
                  <wp:docPr id="2" name="图片 2"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7190978092871566"/>
                          <pic:cNvPicPr>
                            <a:picLocks noChangeAspect="1"/>
                          </pic:cNvPicPr>
                        </pic:nvPicPr>
                        <pic:blipFill>
                          <a:blip r:embed="rId5"/>
                          <a:stretch>
                            <a:fillRect/>
                          </a:stretch>
                        </pic:blipFill>
                        <pic:spPr>
                          <a:xfrm>
                            <a:off x="0" y="0"/>
                            <a:ext cx="1113155" cy="644525"/>
                          </a:xfrm>
                          <a:prstGeom prst="rect">
                            <a:avLst/>
                          </a:prstGeom>
                        </pic:spPr>
                      </pic:pic>
                    </a:graphicData>
                  </a:graphic>
                </wp:inline>
              </w:drawing>
            </w: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2022-04-26</w:t>
            </w:r>
          </w:p>
        </w:tc>
      </w:tr>
    </w:tbl>
    <w:p>
      <w:pPr>
        <w:snapToGrid w:val="0"/>
        <w:spacing w:line="0" w:lineRule="atLeast"/>
        <w:jc w:val="center"/>
        <w:rPr>
          <w:szCs w:val="24"/>
        </w:rPr>
      </w:pPr>
      <w:bookmarkStart w:id="20" w:name="_GoBack"/>
      <w:bookmarkEnd w:id="20"/>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80C79"/>
    <w:rsid w:val="1B2363BE"/>
    <w:rsid w:val="25FD7661"/>
    <w:rsid w:val="42BD5DCB"/>
    <w:rsid w:val="4B8967E5"/>
    <w:rsid w:val="5B7C03C4"/>
    <w:rsid w:val="624763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847</Words>
  <Characters>1591</Characters>
  <Lines>18</Lines>
  <Paragraphs>5</Paragraphs>
  <TotalTime>8</TotalTime>
  <ScaleCrop>false</ScaleCrop>
  <LinksUpToDate>false</LinksUpToDate>
  <CharactersWithSpaces>1807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2022-04-26T03:52:38Z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087F5B8755024A20B758FA6CAA7F958E</vt:lpwstr>
  </property>
  <property fmtid="{D5CDD505-2E9C-101B-9397-08002B2CF9AE}" pid="3" name="KSOProductBuildVer">
    <vt:lpwstr>2052-11.1.0.11691</vt:lpwstr>
  </property>
</Properties>
</file>