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0324-2022-QEO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承德辰一工程管理有限公司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2022年04月22日 上午至2022年04月22日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7"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8"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围场满族蒙古族自治县围场镇农办家属楼西单元底商101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930"/>
        <w:gridCol w:w="208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930" w:type="dxa"/>
            <w:vAlign w:val="center"/>
          </w:tcPr>
          <w:p>
            <w:pPr>
              <w:spacing w:line="240" w:lineRule="exact"/>
              <w:jc w:val="center"/>
              <w:rPr>
                <w:b/>
                <w:color w:val="000000"/>
                <w:szCs w:val="21"/>
              </w:rPr>
            </w:pPr>
            <w:r>
              <w:rPr>
                <w:rFonts w:hint="eastAsia"/>
                <w:szCs w:val="21"/>
              </w:rPr>
              <w:t>审核员注册证书号</w:t>
            </w:r>
          </w:p>
        </w:tc>
        <w:tc>
          <w:tcPr>
            <w:tcW w:w="208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2930"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2080" w:type="dxa"/>
            <w:vAlign w:val="center"/>
          </w:tcPr>
          <w:p>
            <w:pPr>
              <w:spacing w:line="240" w:lineRule="exact"/>
              <w:jc w:val="center"/>
              <w:rPr>
                <w:b/>
                <w:color w:val="000000"/>
                <w:szCs w:val="21"/>
              </w:rPr>
            </w:pPr>
            <w:r>
              <w:rPr>
                <w:b/>
                <w:color w:val="000000"/>
                <w:szCs w:val="21"/>
              </w:rPr>
              <w:t>Q:34.06.00</w:t>
            </w:r>
          </w:p>
          <w:p>
            <w:pPr>
              <w:spacing w:line="240" w:lineRule="exact"/>
              <w:jc w:val="center"/>
              <w:rPr>
                <w:b/>
                <w:color w:val="000000"/>
                <w:szCs w:val="21"/>
              </w:rPr>
            </w:pPr>
            <w:r>
              <w:rPr>
                <w:b/>
                <w:color w:val="000000"/>
                <w:szCs w:val="21"/>
              </w:rPr>
              <w:t>E:34.06.00,35.10.00</w:t>
            </w:r>
          </w:p>
          <w:p>
            <w:pPr>
              <w:spacing w:line="240" w:lineRule="exact"/>
              <w:jc w:val="center"/>
              <w:rPr>
                <w:b/>
                <w:color w:val="000000"/>
                <w:szCs w:val="21"/>
              </w:rPr>
            </w:pPr>
            <w:r>
              <w:rPr>
                <w:b/>
                <w:color w:val="000000"/>
                <w:szCs w:val="21"/>
              </w:rPr>
              <w:t>O:34.06.00,35.10.00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930" w:type="dxa"/>
            <w:vAlign w:val="center"/>
          </w:tcPr>
          <w:p>
            <w:pPr>
              <w:spacing w:line="240" w:lineRule="exact"/>
              <w:jc w:val="center"/>
              <w:rPr>
                <w:b/>
                <w:color w:val="000000"/>
                <w:szCs w:val="21"/>
              </w:rPr>
            </w:pPr>
            <w:r>
              <w:rPr>
                <w:b/>
                <w:color w:val="000000"/>
                <w:szCs w:val="21"/>
              </w:rPr>
              <w:t>2019-N1QMS-1244880</w:t>
            </w:r>
          </w:p>
          <w:p>
            <w:pPr>
              <w:spacing w:line="240" w:lineRule="exact"/>
              <w:jc w:val="center"/>
              <w:rPr>
                <w:b/>
                <w:color w:val="000000"/>
                <w:szCs w:val="21"/>
              </w:rPr>
            </w:pPr>
            <w:r>
              <w:rPr>
                <w:b/>
                <w:color w:val="000000"/>
                <w:szCs w:val="21"/>
              </w:rPr>
              <w:t>2021-N1EMS-1244880</w:t>
            </w:r>
          </w:p>
        </w:tc>
        <w:tc>
          <w:tcPr>
            <w:tcW w:w="2080" w:type="dxa"/>
            <w:vAlign w:val="center"/>
          </w:tcPr>
          <w:p>
            <w:pPr>
              <w:spacing w:line="240" w:lineRule="exact"/>
              <w:jc w:val="center"/>
              <w:rPr>
                <w:b/>
                <w:color w:val="000000"/>
                <w:szCs w:val="21"/>
              </w:rPr>
            </w:pPr>
            <w:r>
              <w:rPr>
                <w:b/>
                <w:color w:val="000000"/>
                <w:szCs w:val="21"/>
              </w:rPr>
              <w:t>Q:34.06.00,35.10.00</w:t>
            </w:r>
          </w:p>
          <w:p>
            <w:pPr>
              <w:spacing w:line="240" w:lineRule="exact"/>
              <w:jc w:val="center"/>
              <w:rPr>
                <w:b/>
                <w:color w:val="000000"/>
                <w:szCs w:val="21"/>
              </w:rPr>
            </w:pPr>
            <w:r>
              <w:rPr>
                <w:b/>
                <w:color w:val="000000"/>
                <w:szCs w:val="21"/>
              </w:rPr>
              <w:t>E:34.06.00,35.10.00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930"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2080" w:type="dxa"/>
            <w:vAlign w:val="center"/>
          </w:tcPr>
          <w:p>
            <w:pPr>
              <w:spacing w:line="240" w:lineRule="exact"/>
              <w:jc w:val="center"/>
              <w:rPr>
                <w:b/>
                <w:color w:val="000000"/>
                <w:szCs w:val="21"/>
              </w:rPr>
            </w:pPr>
            <w:r>
              <w:rPr>
                <w:b/>
                <w:color w:val="000000"/>
                <w:szCs w:val="21"/>
              </w:rPr>
              <w:t>E:34.06.00,35.10.00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930" w:type="dxa"/>
            <w:vAlign w:val="center"/>
          </w:tcPr>
          <w:p>
            <w:pPr>
              <w:rPr>
                <w:b/>
                <w:color w:val="000000"/>
                <w:szCs w:val="21"/>
              </w:rPr>
            </w:pPr>
            <w:r>
              <w:rPr>
                <w:rFonts w:hint="eastAsia"/>
                <w:b/>
                <w:color w:val="000000"/>
                <w:szCs w:val="21"/>
              </w:rPr>
              <w:t>工作单位</w:t>
            </w:r>
          </w:p>
        </w:tc>
        <w:tc>
          <w:tcPr>
            <w:tcW w:w="316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2930" w:type="dxa"/>
            <w:vAlign w:val="center"/>
          </w:tcPr>
          <w:p>
            <w:pPr>
              <w:rPr>
                <w:b/>
                <w:color w:val="000000"/>
                <w:szCs w:val="21"/>
              </w:rPr>
            </w:pPr>
          </w:p>
        </w:tc>
        <w:tc>
          <w:tcPr>
            <w:tcW w:w="316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2930" w:type="dxa"/>
            <w:vAlign w:val="center"/>
          </w:tcPr>
          <w:p>
            <w:pPr>
              <w:rPr>
                <w:b/>
                <w:color w:val="000000"/>
                <w:szCs w:val="21"/>
                <w:highlight w:val="green"/>
              </w:rPr>
            </w:pPr>
          </w:p>
        </w:tc>
        <w:tc>
          <w:tcPr>
            <w:tcW w:w="316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jc w:val="left"/>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承德辰一工程管理有限公司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围场满族蒙古族自治县围场镇农办家属楼西单元底商101</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068450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围场满族蒙古族自治县围场镇农办家属楼西单元底商101</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068450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隋艳丽</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13031410777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刘文超</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隋艳丽</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sz w:val="21"/>
                <w:szCs w:val="21"/>
              </w:rPr>
              <w:t>劳务派遣服务，太阳能、风力发电技术服务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技术服务流程：洽谈</w:t>
            </w:r>
            <w:r>
              <w:rPr>
                <w:rFonts w:hint="eastAsia" w:ascii="Times New Roman" w:hAnsi="Times New Roman" w:eastAsia="宋体" w:cs="Times New Roman"/>
                <w:color w:val="000000"/>
                <w:lang w:val="en-US" w:eastAsia="zh-CN"/>
              </w:rPr>
              <w:t>/招投标</w:t>
            </w:r>
            <w:r>
              <w:rPr>
                <w:rFonts w:hint="eastAsia" w:ascii="Times New Roman" w:hAnsi="Times New Roman" w:eastAsia="宋体" w:cs="Times New Roman"/>
                <w:color w:val="000000"/>
                <w:lang w:eastAsia="zh-CN"/>
              </w:rPr>
              <w:t>→签订合同→</w:t>
            </w:r>
            <w:r>
              <w:rPr>
                <w:rFonts w:hint="eastAsia" w:ascii="Times New Roman" w:hAnsi="Times New Roman" w:eastAsia="宋体" w:cs="Times New Roman"/>
                <w:color w:val="000000"/>
                <w:lang w:val="zh-CN" w:eastAsia="zh-CN"/>
              </w:rPr>
              <w:t>收款</w:t>
            </w:r>
            <w:r>
              <w:rPr>
                <w:rFonts w:hint="eastAsia" w:ascii="Times New Roman" w:hAnsi="Times New Roman" w:eastAsia="宋体" w:cs="Times New Roman"/>
                <w:color w:val="000000"/>
                <w:lang w:val="en-US" w:eastAsia="zh-CN"/>
              </w:rPr>
              <w:t>/预付款</w:t>
            </w:r>
            <w:r>
              <w:rPr>
                <w:rFonts w:hint="eastAsia" w:ascii="Times New Roman" w:hAnsi="Times New Roman" w:eastAsia="宋体" w:cs="Times New Roman"/>
                <w:color w:val="000000"/>
                <w:lang w:val="zh-CN" w:eastAsia="zh-CN"/>
              </w:rPr>
              <w:t xml:space="preserve"> </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zh-CN" w:eastAsia="zh-CN"/>
              </w:rPr>
              <w:t xml:space="preserve"> 调研考察了解项目情况及客户要求</w:t>
            </w:r>
            <w:r>
              <w:rPr>
                <w:rFonts w:hint="eastAsia" w:ascii="Times New Roman" w:hAnsi="Times New Roman" w:eastAsia="宋体" w:cs="Times New Roman"/>
                <w:color w:val="000000"/>
                <w:lang w:val="en-US" w:eastAsia="zh-CN"/>
              </w:rPr>
              <w:t xml:space="preserve"> </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zh-CN" w:eastAsia="zh-CN"/>
              </w:rPr>
              <w:t xml:space="preserve"> 出具技术方案</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zh-CN" w:eastAsia="zh-CN"/>
              </w:rPr>
              <w:t>配备技术人员</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zh-CN" w:eastAsia="zh-CN"/>
              </w:rPr>
              <w:t xml:space="preserve"> 提供技术咨询</w:t>
            </w:r>
            <w:r>
              <w:rPr>
                <w:rFonts w:hint="eastAsia" w:ascii="Times New Roman" w:hAnsi="Times New Roman" w:eastAsia="宋体" w:cs="Times New Roman"/>
                <w:color w:val="000000"/>
                <w:lang w:val="en-US" w:eastAsia="zh-CN"/>
              </w:rPr>
              <w:t>、技术支持等服务</w:t>
            </w:r>
            <w:r>
              <w:rPr>
                <w:rFonts w:hint="eastAsia" w:ascii="Times New Roman" w:hAnsi="Times New Roman" w:eastAsia="宋体" w:cs="Times New Roman"/>
                <w:color w:val="000000"/>
                <w:lang w:eastAsia="zh-CN"/>
              </w:rPr>
              <w:t>→服务完成→</w:t>
            </w:r>
            <w:r>
              <w:rPr>
                <w:rFonts w:hint="eastAsia" w:ascii="Times New Roman" w:hAnsi="Times New Roman" w:eastAsia="宋体" w:cs="Times New Roman"/>
                <w:color w:val="000000"/>
                <w:lang w:val="zh-CN" w:eastAsia="zh-CN"/>
              </w:rPr>
              <w:t xml:space="preserve"> 客户回访 </w:t>
            </w:r>
          </w:p>
          <w:p>
            <w:pPr>
              <w:rPr>
                <w:rFonts w:ascii="宋体"/>
                <w:color w:val="000000"/>
                <w:szCs w:val="21"/>
              </w:rPr>
            </w:pPr>
            <w:r>
              <w:rPr>
                <w:rFonts w:hint="eastAsia" w:ascii="Times New Roman" w:hAnsi="Times New Roman" w:eastAsia="宋体" w:cs="Times New Roman"/>
                <w:color w:val="000000"/>
                <w:lang w:eastAsia="zh-CN"/>
              </w:rPr>
              <w:t>劳务派遣工作流程：招投标/洽谈→中标或洽谈成功签订合同→根据合同要求组织人员-编制作业文件报甲方审核→审核通过派遣劳务入场服务→人员工资结算/月结→派遣服务完成→服务回访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5" w:name="审核范围"/>
            <w:bookmarkStart w:id="37" w:name="_GoBack"/>
            <w:r>
              <w:rPr>
                <w:sz w:val="21"/>
                <w:szCs w:val="21"/>
              </w:rPr>
              <w:t>劳务派遣服务，太阳能、风力发电技术服务</w:t>
            </w:r>
            <w:bookmarkEnd w:id="35"/>
            <w:bookmarkEnd w:id="37"/>
          </w:p>
        </w:tc>
        <w:tc>
          <w:tcPr>
            <w:tcW w:w="2006" w:type="dxa"/>
            <w:gridSpan w:val="3"/>
            <w:vAlign w:val="center"/>
          </w:tcPr>
          <w:p>
            <w:pPr>
              <w:spacing w:line="400" w:lineRule="exact"/>
              <w:rPr>
                <w:rFonts w:ascii="宋体" w:hAnsi="宋体"/>
                <w:b/>
                <w:color w:val="000000"/>
                <w:szCs w:val="21"/>
              </w:rPr>
            </w:pPr>
            <w:r>
              <w:rPr>
                <w:sz w:val="21"/>
                <w:szCs w:val="21"/>
              </w:rPr>
              <w:t>34.06.00;35.10.00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sz w:val="21"/>
                <w:szCs w:val="21"/>
              </w:rPr>
            </w:pPr>
            <w:r>
              <w:rPr>
                <w:sz w:val="21"/>
                <w:szCs w:val="21"/>
              </w:rPr>
              <w:t>劳务派遣服务，太阳能、风力发电技术服务所涉及场所的相关环境管理活动</w:t>
            </w:r>
          </w:p>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sz w:val="21"/>
                <w:szCs w:val="21"/>
              </w:rPr>
              <w:t>34.06.00;35.10.00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劳务派遣服务，太阳能、风力发电技术服务所涉及场所的相关职业健康安全管理活动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34.06.00;35.10.00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98"/>
        <w:gridCol w:w="1719"/>
        <w:gridCol w:w="618"/>
        <w:gridCol w:w="1918"/>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noWrap w:val="0"/>
            <w:tcMar>
              <w:left w:w="57" w:type="dxa"/>
              <w:right w:w="57" w:type="dxa"/>
            </w:tcMar>
            <w:vAlign w:val="top"/>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498" w:type="dxa"/>
            <w:shd w:val="clear" w:color="auto" w:fill="F3F3F3"/>
            <w:noWrap w:val="0"/>
            <w:tcMar>
              <w:left w:w="57" w:type="dxa"/>
              <w:right w:w="57" w:type="dxa"/>
            </w:tcMar>
            <w:vAlign w:val="top"/>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19" w:type="dxa"/>
            <w:shd w:val="clear" w:color="auto" w:fill="F3F3F3"/>
            <w:noWrap w:val="0"/>
            <w:tcMar>
              <w:left w:w="57" w:type="dxa"/>
              <w:right w:w="57" w:type="dxa"/>
            </w:tcMar>
            <w:vAlign w:val="top"/>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18" w:type="dxa"/>
            <w:shd w:val="clear" w:color="auto" w:fill="F3F3F3"/>
            <w:noWrap w:val="0"/>
            <w:tcMar>
              <w:left w:w="57" w:type="dxa"/>
              <w:right w:w="57" w:type="dxa"/>
            </w:tcMar>
            <w:vAlign w:val="top"/>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918" w:type="dxa"/>
            <w:shd w:val="clear" w:color="auto" w:fill="F3F3F3"/>
            <w:noWrap w:val="0"/>
            <w:tcMar>
              <w:left w:w="57" w:type="dxa"/>
              <w:right w:w="57" w:type="dxa"/>
            </w:tcMar>
            <w:vAlign w:val="top"/>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noWrap w:val="0"/>
            <w:tcMar>
              <w:left w:w="57" w:type="dxa"/>
              <w:right w:w="57" w:type="dxa"/>
            </w:tcMar>
            <w:vAlign w:val="top"/>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noWrap w:val="0"/>
            <w:tcMar>
              <w:left w:w="57" w:type="dxa"/>
              <w:right w:w="57" w:type="dxa"/>
            </w:tcMar>
            <w:vAlign w:val="top"/>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shd w:val="clear" w:color="auto" w:fill="auto"/>
            <w:noWrap w:val="0"/>
            <w:vAlign w:val="center"/>
          </w:tcPr>
          <w:p>
            <w:pPr>
              <w:spacing w:before="40" w:after="40"/>
              <w:rPr>
                <w:rFonts w:eastAsia="黑体"/>
                <w:szCs w:val="21"/>
                <w:lang w:eastAsia="ja-JP"/>
              </w:rPr>
            </w:pPr>
            <w:r>
              <w:rPr>
                <w:rFonts w:eastAsia="黑体"/>
                <w:szCs w:val="21"/>
                <w:lang w:eastAsia="ja-JP"/>
              </w:rPr>
              <w:t>01</w:t>
            </w:r>
          </w:p>
        </w:tc>
        <w:tc>
          <w:tcPr>
            <w:tcW w:w="2498" w:type="dxa"/>
            <w:shd w:val="clear" w:color="auto" w:fill="auto"/>
            <w:noWrap w:val="0"/>
            <w:vAlign w:val="top"/>
          </w:tcPr>
          <w:p>
            <w:pPr>
              <w:spacing w:before="40" w:after="40"/>
              <w:rPr>
                <w:rFonts w:eastAsia="黑体"/>
                <w:szCs w:val="21"/>
                <w:lang w:val="de-DE" w:eastAsia="ja-JP"/>
              </w:rPr>
            </w:pPr>
            <w:r>
              <w:rPr>
                <w:rFonts w:hint="eastAsia" w:eastAsia="黑体"/>
                <w:szCs w:val="21"/>
                <w:lang w:val="de-DE" w:eastAsia="ja-JP"/>
              </w:rPr>
              <w:t>承德辰一工程管理有限公司</w:t>
            </w:r>
            <w:r>
              <w:rPr>
                <w:rFonts w:hint="eastAsia" w:eastAsia="黑体"/>
                <w:szCs w:val="21"/>
                <w:lang w:val="en-US" w:eastAsia="zh-CN"/>
              </w:rPr>
              <w:t>/</w:t>
            </w:r>
            <w:r>
              <w:rPr>
                <w:rFonts w:hint="eastAsia" w:eastAsia="黑体"/>
                <w:szCs w:val="21"/>
                <w:lang w:val="de-DE" w:eastAsia="ja-JP"/>
              </w:rPr>
              <w:t>围场满族蒙古族自治县围场镇农办家属楼西单元底商101</w:t>
            </w:r>
          </w:p>
        </w:tc>
        <w:tc>
          <w:tcPr>
            <w:tcW w:w="1719" w:type="dxa"/>
            <w:shd w:val="clear" w:color="auto" w:fill="auto"/>
            <w:noWrap w:val="0"/>
            <w:vAlign w:val="top"/>
          </w:tcPr>
          <w:p>
            <w:pPr>
              <w:spacing w:before="40" w:after="40"/>
              <w:rPr>
                <w:rFonts w:eastAsia="黑体"/>
                <w:szCs w:val="21"/>
                <w:lang w:val="de-DE" w:eastAsia="ja-JP"/>
              </w:rPr>
            </w:pPr>
            <w:r>
              <w:rPr>
                <w:rFonts w:hint="eastAsia" w:eastAsia="黑体"/>
                <w:szCs w:val="21"/>
                <w:lang w:val="de-DE" w:eastAsia="ja-JP"/>
              </w:rPr>
              <w:t>围场满族蒙古族自治县围场镇农办家属楼西单元底商101</w:t>
            </w:r>
          </w:p>
        </w:tc>
        <w:tc>
          <w:tcPr>
            <w:tcW w:w="618" w:type="dxa"/>
            <w:shd w:val="clear" w:color="auto" w:fill="auto"/>
            <w:noWrap w:val="0"/>
            <w:vAlign w:val="center"/>
          </w:tcPr>
          <w:p>
            <w:pPr>
              <w:spacing w:before="40" w:after="40"/>
              <w:rPr>
                <w:rFonts w:hint="default" w:eastAsia="黑体"/>
                <w:szCs w:val="21"/>
                <w:lang w:val="en-US" w:eastAsia="zh-CN"/>
              </w:rPr>
            </w:pPr>
            <w:r>
              <w:rPr>
                <w:rFonts w:hint="eastAsia" w:eastAsia="黑体"/>
                <w:szCs w:val="21"/>
                <w:lang w:val="en-US" w:eastAsia="zh-CN"/>
              </w:rPr>
              <w:t>12</w:t>
            </w:r>
          </w:p>
        </w:tc>
        <w:tc>
          <w:tcPr>
            <w:tcW w:w="1918" w:type="dxa"/>
            <w:shd w:val="clear" w:color="auto" w:fill="auto"/>
            <w:noWrap w:val="0"/>
            <w:vAlign w:val="center"/>
          </w:tcPr>
          <w:p>
            <w:pPr>
              <w:pStyle w:val="20"/>
              <w:rPr>
                <w:rFonts w:hint="eastAsia" w:eastAsia="黑体" w:cs="Arial"/>
                <w:sz w:val="21"/>
                <w:szCs w:val="21"/>
                <w:lang w:val="en-US" w:eastAsia="zh-CN"/>
              </w:rPr>
            </w:pPr>
            <w:r>
              <w:rPr>
                <w:sz w:val="21"/>
                <w:szCs w:val="21"/>
              </w:rPr>
              <w:t>劳务派遣服务，太阳能、风力发电技术服务</w:t>
            </w:r>
          </w:p>
        </w:tc>
        <w:tc>
          <w:tcPr>
            <w:tcW w:w="1824" w:type="dxa"/>
            <w:shd w:val="clear" w:color="auto" w:fill="auto"/>
            <w:noWrap w:val="0"/>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tc>
          <w:tcPr>
            <w:tcW w:w="668" w:type="dxa"/>
            <w:shd w:val="clear" w:color="auto" w:fill="FFFFFF"/>
            <w:noWrap w:val="0"/>
            <w:vAlign w:val="top"/>
          </w:tcPr>
          <w:p>
            <w:pPr>
              <w:rPr>
                <w:rFonts w:eastAsia="黑体"/>
                <w:szCs w:val="21"/>
              </w:rPr>
            </w:pPr>
            <w:r>
              <w:rPr>
                <w:rFonts w:hint="default" w:ascii="Arial" w:hAnsi="Arial" w:eastAsia="黑体" w:cs="Arial"/>
                <w:szCs w:val="21"/>
              </w:rPr>
              <w:t>×</w:t>
            </w: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需求分析</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方案制定</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r>
              <w:rPr>
                <w:rFonts w:hint="eastAsia"/>
              </w:rPr>
              <w:t>环境管理体系重点关注</w:t>
            </w:r>
          </w:p>
          <w:p>
            <w:pPr>
              <w:jc w:val="center"/>
            </w:pPr>
          </w:p>
          <w:p>
            <w:pPr>
              <w:pStyle w:val="2"/>
              <w:rPr>
                <w:rFonts w:ascii="宋体"/>
                <w:color w:val="000000"/>
                <w:spacing w:val="-10"/>
                <w:szCs w:val="21"/>
              </w:rPr>
            </w:pPr>
          </w:p>
          <w:p>
            <w:pPr>
              <w:pStyle w:val="2"/>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2022-04-2</w:t>
            </w:r>
            <w:bookmarkEnd w:id="36"/>
            <w:r>
              <w:rPr>
                <w:rFonts w:hint="eastAsia" w:ascii="宋体"/>
                <w:b/>
                <w:color w:val="000000"/>
                <w:szCs w:val="21"/>
                <w:lang w:val="en-US" w:eastAsia="zh-CN"/>
              </w:rPr>
              <w:t>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 w:val="21"/>
          <w:lang w:eastAsia="zh-CN"/>
        </w:rPr>
        <w:drawing>
          <wp:anchor distT="0" distB="0" distL="114300" distR="114300" simplePos="0" relativeHeight="251661312" behindDoc="0" locked="0" layoutInCell="1" allowOverlap="1">
            <wp:simplePos x="0" y="0"/>
            <wp:positionH relativeFrom="column">
              <wp:posOffset>1703070</wp:posOffset>
            </wp:positionH>
            <wp:positionV relativeFrom="paragraph">
              <wp:posOffset>255905</wp:posOffset>
            </wp:positionV>
            <wp:extent cx="853440" cy="41084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853440" cy="41084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tabs>
          <w:tab w:val="left" w:pos="764"/>
        </w:tabs>
        <w:ind w:firstLine="843" w:firstLineChars="400"/>
        <w:rPr>
          <w:rFonts w:hint="default" w:ascii="宋体" w:eastAsia="宋体"/>
          <w:b/>
          <w:color w:val="000000"/>
          <w:szCs w:val="21"/>
          <w:lang w:val="en-US" w:eastAsia="zh-CN"/>
        </w:rPr>
      </w:pPr>
      <w:r>
        <w:rPr>
          <w:rFonts w:hint="eastAsia" w:ascii="宋体" w:hAnsi="宋体"/>
          <w:b/>
          <w:color w:val="000000"/>
          <w:szCs w:val="21"/>
          <w:lang w:eastAsia="zh-CN"/>
        </w:rPr>
        <w:tab/>
      </w:r>
      <w:r>
        <w:rPr>
          <w:rFonts w:hint="eastAsia" w:ascii="宋体" w:hAnsi="宋体"/>
          <w:b/>
          <w:color w:val="000000"/>
          <w:szCs w:val="21"/>
          <w:lang w:val="en-US" w:eastAsia="zh-CN"/>
        </w:rPr>
        <w:t xml:space="preserve">                                 </w:t>
      </w: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2022年4月22日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22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gridCol w:w="6191"/>
        <w:gridCol w:w="6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382" w:type="dxa"/>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382" w:type="dxa"/>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c>
          <w:tcPr>
            <w:tcW w:w="6191" w:type="dxa"/>
          </w:tcPr>
          <w:p>
            <w:pPr>
              <w:pStyle w:val="7"/>
              <w:pBdr>
                <w:bottom w:val="none" w:color="auto" w:sz="0" w:space="0"/>
              </w:pBdr>
              <w:ind w:right="600" w:rightChars="0"/>
              <w:jc w:val="both"/>
              <w:rPr>
                <w:rFonts w:ascii="宋体" w:hAnsi="Calibri" w:eastAsia="宋体" w:cs="Times New Roman"/>
                <w:color w:val="000000"/>
                <w:kern w:val="2"/>
                <w:sz w:val="21"/>
                <w:szCs w:val="21"/>
                <w:lang w:val="en-US" w:eastAsia="zh-CN" w:bidi="ar-SA"/>
              </w:rPr>
            </w:pPr>
          </w:p>
        </w:tc>
        <w:tc>
          <w:tcPr>
            <w:tcW w:w="6191" w:type="dxa"/>
          </w:tcPr>
          <w:p>
            <w:pPr>
              <w:pStyle w:val="7"/>
              <w:pBdr>
                <w:bottom w:val="none" w:color="auto" w:sz="0" w:space="0"/>
              </w:pBdr>
              <w:tabs>
                <w:tab w:val="center" w:pos="5737"/>
                <w:tab w:val="clear" w:pos="4153"/>
              </w:tabs>
              <w:jc w:val="both"/>
              <w:rPr>
                <w:rFonts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382" w:type="dxa"/>
        </w:trPr>
        <w:tc>
          <w:tcPr>
            <w:tcW w:w="4736" w:type="dxa"/>
            <w:gridSpan w:val="2"/>
          </w:tcPr>
          <w:p>
            <w:pPr>
              <w:spacing w:line="280" w:lineRule="exact"/>
              <w:rPr>
                <w:b/>
                <w:color w:val="000000"/>
                <w:szCs w:val="21"/>
              </w:rPr>
            </w:pPr>
            <w:r>
              <w:rPr>
                <w:rFonts w:hint="eastAsia" w:ascii="宋体" w:hAnsi="宋体" w:eastAsia="宋体"/>
                <w:sz w:val="21"/>
                <w:lang w:eastAsia="zh-CN"/>
              </w:rPr>
              <w:drawing>
                <wp:anchor distT="0" distB="0" distL="114300" distR="114300" simplePos="0" relativeHeight="251663360" behindDoc="0" locked="0" layoutInCell="1" allowOverlap="1">
                  <wp:simplePos x="0" y="0"/>
                  <wp:positionH relativeFrom="column">
                    <wp:posOffset>831215</wp:posOffset>
                  </wp:positionH>
                  <wp:positionV relativeFrom="paragraph">
                    <wp:posOffset>17145</wp:posOffset>
                  </wp:positionV>
                  <wp:extent cx="853440" cy="410845"/>
                  <wp:effectExtent l="0" t="0" r="0" b="0"/>
                  <wp:wrapNone/>
                  <wp:docPr id="5"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190904151347"/>
                          <pic:cNvPicPr>
                            <a:picLocks noChangeAspect="1"/>
                          </pic:cNvPicPr>
                        </pic:nvPicPr>
                        <pic:blipFill>
                          <a:blip r:embed="rId6"/>
                          <a:stretch>
                            <a:fillRect/>
                          </a:stretch>
                        </pic:blipFill>
                        <pic:spPr>
                          <a:xfrm>
                            <a:off x="0" y="0"/>
                            <a:ext cx="853440" cy="41084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3360" behindDoc="0" locked="0" layoutInCell="1" allowOverlap="1">
                  <wp:simplePos x="0" y="0"/>
                  <wp:positionH relativeFrom="column">
                    <wp:posOffset>1021715</wp:posOffset>
                  </wp:positionH>
                  <wp:positionV relativeFrom="paragraph">
                    <wp:posOffset>42545</wp:posOffset>
                  </wp:positionV>
                  <wp:extent cx="737870" cy="440055"/>
                  <wp:effectExtent l="0" t="0" r="11430" b="444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737870" cy="440055"/>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382" w:type="dxa"/>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382" w:type="dxa"/>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sz w:val="21"/>
                <w:lang w:eastAsia="zh-CN"/>
              </w:rPr>
              <w:drawing>
                <wp:anchor distT="0" distB="0" distL="114300" distR="114300" simplePos="0" relativeHeight="251662336" behindDoc="0" locked="0" layoutInCell="1" allowOverlap="1">
                  <wp:simplePos x="0" y="0"/>
                  <wp:positionH relativeFrom="column">
                    <wp:posOffset>363855</wp:posOffset>
                  </wp:positionH>
                  <wp:positionV relativeFrom="paragraph">
                    <wp:posOffset>149225</wp:posOffset>
                  </wp:positionV>
                  <wp:extent cx="853440" cy="41084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853440" cy="410845"/>
                          </a:xfrm>
                          <a:prstGeom prst="rect">
                            <a:avLst/>
                          </a:prstGeom>
                          <a:noFill/>
                          <a:ln>
                            <a:noFill/>
                          </a:ln>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382" w:type="dxa"/>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0184364D"/>
    <w:rsid w:val="094149D6"/>
    <w:rsid w:val="11886B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2022-04-27T07:32:22Z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