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成都通德药业有限公司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成都海峡两岸科技产业开发园柳台大道B段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四川省成都市温江区海峡两岸科技产业开发园柳台大道B段222号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武银娜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15881091242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_GoBack"/>
            <w:bookmarkEnd w:id="3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李晓琳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0415-2021-QE-2022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Q：粉针剂、片剂（含中药提取）、硬胶囊剂、颗粒剂（含中药提取）、原料药的生产（资质范围内）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E：粉针剂、片剂（含中药提取）、硬胶囊剂、颗粒剂（含中药提取）、原料药的生产（资质范围内）所涉及场所的相关环境管理活动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Q：13.01.00;13.02.00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E：13.01.00;13.02.00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2022年05月29日 上午至2022年06月01日 上午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3.5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Q:13.02.00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E:13.02.00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张安玲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成都市海通药业有限公司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Q:13.01.00,13.02.00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E:13.01.00,13.02.00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13518175655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张安玲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成都市海通药业有限公司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Q:13.01.00,13.02.00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E:13.01.00,13.02.00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ISC-JSZJ-293</w:t>
            </w:r>
          </w:p>
          <w:p>
            <w:pPr>
              <w:jc w:val="center"/>
            </w:pPr>
            <w:r>
              <w:rPr>
                <w:sz w:val="20"/>
                <w:lang w:val="de-DE"/>
              </w:rPr>
              <w:t>ISC-JSZJ-293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13518175655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李凤娟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2022.5.28</w:t>
            </w:r>
          </w:p>
        </w:tc>
      </w:tr>
    </w:tbl>
    <w:p/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472"/>
        <w:gridCol w:w="869"/>
        <w:gridCol w:w="6491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0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4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50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5月29日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8：30-9：00</w:t>
            </w:r>
          </w:p>
        </w:tc>
        <w:tc>
          <w:tcPr>
            <w:tcW w:w="7360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余家龙、张安玲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9" w:hRule="atLeast"/>
          <w:jc w:val="center"/>
        </w:trPr>
        <w:tc>
          <w:tcPr>
            <w:tcW w:w="50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9：00-12：00</w:t>
            </w:r>
          </w:p>
        </w:tc>
        <w:tc>
          <w:tcPr>
            <w:tcW w:w="8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管理层</w:t>
            </w:r>
          </w:p>
        </w:tc>
        <w:tc>
          <w:tcPr>
            <w:tcW w:w="6491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诺;5.2方针;5.3组织的角色、职责和权限；6.1应对风险和机遇的措施；6.2目标及其实现的策划；6.3变更的策划；7.1.6组织知识；7.1.1资源 总则；7.4沟通；9.1.1监测、分析和评价总则；9.3管理评审；10.1改进 总则；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10.2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 xml:space="preserve">不合格和纠正措施 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EMS-2015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]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7.4沟通；9.1.1监测、分析和评估总则；9.3管理评审；10.1改进 总则；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10.2不符合和纠正措施；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10.3持续改进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上次审核问题验证、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范围的确认，资质的确认，法律法规执行情况，重大质量事故，及顾客投诉和质量监督抽查情况。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余家龙、张安玲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50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12：30-17：00</w:t>
            </w:r>
          </w:p>
        </w:tc>
        <w:tc>
          <w:tcPr>
            <w:tcW w:w="8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总经办</w:t>
            </w:r>
          </w:p>
        </w:tc>
        <w:tc>
          <w:tcPr>
            <w:tcW w:w="6491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/权限；6.2质量目标及其实现的策划；7.1.2人员； 7.2能力；7.3意识；7.5文件化信息；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9.2内部审核；10.2不符合和纠正措施；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权限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6.1.2环境因素；6.1.3合规义务；6.2目标及其达成的策划；7.2能力；7.3意识；7.5文件化信息；8.1运行策划和控制；8.2应急准备和响应；9.1监视、测量、分析与评估；9.1.2符合性评估；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10.2不符合和纠正措施；10.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3持续改进/EMS运行控制相关财务支出证据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余家龙、张安玲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0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5月30日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8：30-17：00</w:t>
            </w:r>
          </w:p>
        </w:tc>
        <w:tc>
          <w:tcPr>
            <w:tcW w:w="8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6491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 w:ascii="宋体" w:hAnsi="宋体" w:cs="新宋体"/>
                <w:sz w:val="18"/>
                <w:szCs w:val="18"/>
              </w:rPr>
              <w:t>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7.1.5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宋体" w:hAnsi="宋体" w:cs="新宋体"/>
                <w:sz w:val="18"/>
                <w:szCs w:val="18"/>
              </w:rPr>
              <w:t>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15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6.1.2环境因素；6.2目标及其达成的策划；7.4沟通；8.1运行策划和控制；8.2应急准备和响应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余家龙、张安玲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0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5月31日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8：30-17：00</w:t>
            </w:r>
          </w:p>
        </w:tc>
        <w:tc>
          <w:tcPr>
            <w:tcW w:w="8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491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/权限；6.2质量目标及其实现的策划7.1.3基础设施；7.1.4过程运行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环境；7</w:t>
            </w:r>
            <w:r>
              <w:rPr>
                <w:rFonts w:hint="eastAsia" w:ascii="宋体" w:hAnsi="宋体" w:cs="新宋体"/>
                <w:sz w:val="18"/>
                <w:szCs w:val="18"/>
              </w:rPr>
              <w:t>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15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6.1.2环境因素；6.2目标及其达成的策划；7.4沟通；8.1运行策划和控制；8.2应急准备和响应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余家龙、张安玲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50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6月1日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8：00-11：30</w:t>
            </w:r>
          </w:p>
        </w:tc>
        <w:tc>
          <w:tcPr>
            <w:tcW w:w="86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6491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/权限；6.2质量目标及其实现的策划；7.4沟通；8.2产品和服务的要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8.4</w:t>
            </w: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外部提供过程、产品和服务的控制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</w:t>
            </w:r>
            <w:r>
              <w:rPr>
                <w:rFonts w:hint="eastAsia" w:ascii="宋体" w:hAnsi="宋体" w:cs="新宋体"/>
                <w:sz w:val="18"/>
                <w:szCs w:val="18"/>
              </w:rPr>
              <w:t>责和权限、6.1.2环境因素；6.2目标及其达成的策划；7.4沟通；8.1运行策划和控制；8.2应急准备和响应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余家龙、张安玲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50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72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11：30-12：00</w:t>
            </w:r>
          </w:p>
        </w:tc>
        <w:tc>
          <w:tcPr>
            <w:tcW w:w="736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余家龙、张安玲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377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12：00-12：30午餐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C7319B7"/>
    <w:rsid w:val="173F49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2309</Words>
  <Characters>3353</Characters>
  <Lines>37</Lines>
  <Paragraphs>10</Paragraphs>
  <TotalTime>1</TotalTime>
  <ScaleCrop>false</ScaleCrop>
  <LinksUpToDate>false</LinksUpToDate>
  <CharactersWithSpaces>3418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2022-06-24T03:46:22Z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