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重庆宇宝保温工程有限公司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</w:t>
            </w:r>
            <w:r>
              <w:rPr>
                <w:rFonts w:hint="eastAsia" w:ascii="方正仿宋简体" w:eastAsia="方正仿宋简体"/>
                <w:b/>
              </w:rPr>
              <w:t>危废库管理：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危废间存放的废活性炭和废机油无</w:t>
            </w:r>
            <w:r>
              <w:rPr>
                <w:rFonts w:hint="eastAsia" w:ascii="方正仿宋简体" w:eastAsia="方正仿宋简体"/>
                <w:b/>
              </w:rPr>
              <w:t>相关入库记录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widowControl/>
              <w:suppressLineNumbers w:val="0"/>
              <w:ind w:firstLine="1767" w:firstLineChars="800"/>
              <w:jc w:val="left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组织应建立、实施、控制并保持满足环境管理体系要求以及实施 6.1 和 </w:t>
            </w:r>
            <w:r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  <w:t xml:space="preserve">6.2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所识别的措 施所需的过程，通过：按照运行准则实施过程控制。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61E4BD9"/>
    <w:rsid w:val="17B61CDE"/>
    <w:rsid w:val="1FB14A30"/>
    <w:rsid w:val="2DDD1327"/>
    <w:rsid w:val="33AD4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2022-04-20T06:38:24Z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