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0014-2020-QEO-2022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四川欣祥科技有限公司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四川欣祥科技有限公司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四川省眉山市青神县青城镇工业开发区兴业路10号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四川省眉山市青神县青城镇工业开发区兴业路10号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张政</w:t>
            </w:r>
            <w:bookmarkEnd w:id="10"/>
          </w:p>
        </w:tc>
        <w:tc>
          <w:tcPr>
            <w:tcW w:w="1313" w:type="dxa"/>
            <w:vAlign w:val="center"/>
          </w:tcPr>
          <w:p>
            <w:r>
              <w:rPr>
                <w:rFonts w:hint="eastAsia"/>
              </w:rPr>
              <w:t>电话.</w:t>
            </w:r>
          </w:p>
        </w:tc>
        <w:tc>
          <w:tcPr>
            <w:tcW w:w="2180" w:type="dxa"/>
            <w:vAlign w:val="center"/>
          </w:tcPr>
          <w:p>
            <w:bookmarkStart w:id="11" w:name="联系人电话"/>
            <w:r>
              <w:t>15503232345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宋建祥</w:t>
            </w:r>
            <w:bookmarkEnd w:id="13"/>
          </w:p>
        </w:tc>
        <w:tc>
          <w:tcPr>
            <w:tcW w:w="1313" w:type="dxa"/>
            <w:vAlign w:val="center"/>
          </w:tcPr>
          <w:p>
            <w:r>
              <w:rPr>
                <w:rFonts w:hint="eastAsia"/>
              </w:rPr>
              <w:t>管理者代表</w:t>
            </w:r>
          </w:p>
        </w:tc>
        <w:tc>
          <w:tcPr>
            <w:tcW w:w="2180" w:type="dxa"/>
          </w:tcPr>
          <w:p>
            <w:bookmarkStart w:id="14" w:name="管理者代表"/>
            <w:r>
              <w:t>王玲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400" w:lineRule="exact"/>
            </w:pPr>
            <w:r>
              <w:rPr>
                <w:rFonts w:hint="eastAsia" w:ascii="宋体" w:hAnsi="宋体" w:cs="Arial"/>
                <w:sz w:val="21"/>
                <w:szCs w:val="21"/>
              </w:rPr>
              <w:t>生产计划单——配料——混合搅拌——检测——储罐储存——交付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2022年04月18日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四川省眉山市青神县青城镇工业开发区兴业路10号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Q：混凝土外加剂的生产</w:t>
            </w:r>
          </w:p>
          <w:p>
            <w:r>
              <w:t>E：混凝土外加剂的生产及其场所所涉及的相关环境管理活动</w:t>
            </w:r>
          </w:p>
          <w:p>
            <w:r>
              <w:t>O：混凝土外加剂的生产及其场所所涉及的相关职业健康安全管理活动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Q：12.05.04</w:t>
            </w:r>
          </w:p>
          <w:p>
            <w:r>
              <w:t>E：12.05.04</w:t>
            </w:r>
          </w:p>
          <w:p>
            <w:r>
              <w:t>O：12.05.04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8</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四川省眉山市青神县青城镇工业开发区兴业路10号</w:t>
            </w:r>
          </w:p>
        </w:tc>
        <w:tc>
          <w:tcPr>
            <w:tcW w:w="2267" w:type="dxa"/>
          </w:tcPr>
          <w:p>
            <w:pPr>
              <w:rPr>
                <w:lang w:val="de-DE" w:eastAsia="ja-JP"/>
              </w:rPr>
            </w:pPr>
            <w:r>
              <w:rPr>
                <w:rFonts w:asciiTheme="minorEastAsia" w:hAnsiTheme="minorEastAsia" w:eastAsiaTheme="minorEastAsia"/>
                <w:sz w:val="20"/>
              </w:rPr>
              <w:t>四川省眉山市青神县青城镇工业开发区兴业路10号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Q：混凝土外加剂的生产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四川省眉山市青神县青城镇工业开发区兴业路10号</w:t>
            </w:r>
          </w:p>
        </w:tc>
        <w:tc>
          <w:tcPr>
            <w:tcW w:w="2267" w:type="dxa"/>
            <w:vAlign w:val="center"/>
          </w:tcPr>
          <w:p>
            <w:pPr>
              <w:rPr>
                <w:lang w:eastAsia="ja-JP"/>
              </w:rPr>
            </w:pPr>
            <w:r>
              <w:rPr>
                <w:rFonts w:asciiTheme="minorEastAsia" w:hAnsiTheme="minorEastAsia" w:eastAsiaTheme="minorEastAsia"/>
                <w:sz w:val="20"/>
              </w:rPr>
              <w:t>四川省眉山市青神县青城镇工业开发区兴业路10号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E：混凝土外加剂的生产及其场所所涉及的相关环境管理活动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四川省眉山市青神县青城镇工业开发区兴业路10号</w:t>
            </w:r>
          </w:p>
        </w:tc>
        <w:tc>
          <w:tcPr>
            <w:tcW w:w="2267" w:type="dxa"/>
            <w:vAlign w:val="center"/>
          </w:tcPr>
          <w:p>
            <w:pPr>
              <w:rPr>
                <w:lang w:eastAsia="ja-JP"/>
              </w:rPr>
            </w:pPr>
            <w:r>
              <w:rPr>
                <w:rFonts w:asciiTheme="minorEastAsia" w:hAnsiTheme="minorEastAsia" w:eastAsiaTheme="minorEastAsia"/>
                <w:sz w:val="20"/>
              </w:rPr>
              <w:t>四川省眉山市青神县青城镇工业开发区兴业路10号</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O：混凝土外加剂的生产及其场所所涉及的相关职业健康安全管理活动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r>
              <w:t>Q:12.05.04</w:t>
            </w:r>
          </w:p>
          <w:p>
            <w:r>
              <w:t>E:12.05.04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Q:12.05.04</w:t>
            </w:r>
          </w:p>
          <w:p>
            <w:r>
              <w:t>E:12.05.04</w:t>
            </w:r>
          </w:p>
          <w:p>
            <w:r>
              <w:t>O:12.05.04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Times New Roman" w:hAnsi="Times New Roman" w:eastAsia="宋体" w:cs="Times New Roman"/>
                <w:lang w:val="en-US" w:eastAsia="zh-CN"/>
              </w:rPr>
              <w:t>对上次不符合</w:t>
            </w:r>
            <w:r>
              <w:rPr>
                <w:rFonts w:hint="default" w:ascii="Times New Roman" w:hAnsi="Times New Roman" w:eastAsia="宋体" w:cs="Times New Roman"/>
                <w:lang w:val="en-US" w:eastAsia="zh-CN"/>
              </w:rPr>
              <w:t>“</w:t>
            </w:r>
            <w:r>
              <w:rPr>
                <w:rFonts w:hint="eastAsia" w:ascii="Times New Roman" w:hAnsi="Times New Roman" w:eastAsia="宋体" w:cs="Times New Roman"/>
              </w:rPr>
              <w:t>抽查</w:t>
            </w:r>
            <w:r>
              <w:rPr>
                <w:rFonts w:hint="eastAsia" w:ascii="Times New Roman" w:hAnsi="Times New Roman" w:eastAsia="宋体" w:cs="Times New Roman"/>
                <w:lang w:val="en-US" w:eastAsia="zh-CN"/>
              </w:rPr>
              <w:t>投料工序</w:t>
            </w:r>
            <w:r>
              <w:rPr>
                <w:rFonts w:hint="eastAsia" w:ascii="Times New Roman" w:hAnsi="Times New Roman" w:eastAsia="宋体" w:cs="Times New Roman"/>
              </w:rPr>
              <w:t>员</w:t>
            </w:r>
            <w:r>
              <w:rPr>
                <w:rFonts w:hint="eastAsia" w:ascii="Times New Roman" w:hAnsi="Times New Roman" w:eastAsia="宋体" w:cs="Times New Roman"/>
                <w:lang w:val="en-US" w:eastAsia="zh-CN"/>
              </w:rPr>
              <w:t>工</w:t>
            </w:r>
            <w:r>
              <w:rPr>
                <w:rFonts w:hint="eastAsia" w:ascii="Times New Roman" w:hAnsi="Times New Roman" w:eastAsia="宋体" w:cs="Times New Roman"/>
              </w:rPr>
              <w:t>职业危害体检情况，</w:t>
            </w:r>
            <w:r>
              <w:rPr>
                <w:rFonts w:hint="eastAsia" w:ascii="Times New Roman" w:hAnsi="Times New Roman" w:eastAsia="宋体" w:cs="Times New Roman"/>
                <w:lang w:val="en-US" w:eastAsia="zh-CN"/>
              </w:rPr>
              <w:t>未</w:t>
            </w:r>
            <w:r>
              <w:rPr>
                <w:rFonts w:hint="eastAsia" w:ascii="Times New Roman" w:hAnsi="Times New Roman" w:eastAsia="宋体" w:cs="Times New Roman"/>
              </w:rPr>
              <w:t>能提供近期</w:t>
            </w:r>
            <w:r>
              <w:rPr>
                <w:rFonts w:hint="eastAsia" w:ascii="Times New Roman" w:hAnsi="Times New Roman" w:eastAsia="宋体" w:cs="Times New Roman"/>
                <w:lang w:val="en-US" w:eastAsia="zh-CN"/>
              </w:rPr>
              <w:t>作业</w:t>
            </w:r>
            <w:r>
              <w:rPr>
                <w:rFonts w:hint="eastAsia" w:ascii="Times New Roman" w:hAnsi="Times New Roman" w:eastAsia="宋体" w:cs="Times New Roman"/>
              </w:rPr>
              <w:t>人员体检记录</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进行验证，不符合整改措施落实有效，不符合已经关闭。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211455</wp:posOffset>
                  </wp:positionH>
                  <wp:positionV relativeFrom="paragraph">
                    <wp:posOffset>101600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color w:val="000000"/>
                <w:szCs w:val="18"/>
                <w:highlight w:val="none"/>
                <w:u w:val="single"/>
                <w:lang w:eastAsia="zh-CN"/>
              </w:rPr>
              <w:t>“精益求精 创“欣祥”新优势；</w:t>
            </w:r>
            <w:r>
              <w:rPr>
                <w:rFonts w:hint="eastAsia"/>
                <w:color w:val="000000"/>
                <w:szCs w:val="18"/>
                <w:highlight w:val="none"/>
                <w:u w:val="single"/>
              </w:rPr>
              <w:t xml:space="preserve"> </w:t>
            </w:r>
            <w:r>
              <w:rPr>
                <w:rFonts w:hint="eastAsia"/>
                <w:color w:val="000000"/>
                <w:szCs w:val="18"/>
                <w:highlight w:val="none"/>
                <w:u w:val="single"/>
                <w:lang w:eastAsia="zh-CN"/>
              </w:rPr>
              <w:t>”</w:t>
            </w:r>
            <w:r>
              <w:rPr>
                <w:rFonts w:hint="eastAsia" w:ascii="宋体" w:hAnsi="宋体" w:cs="宋体"/>
                <w:color w:val="000000" w:themeColor="text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交付合格数/交付总数*100%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lang w:val="en-US" w:eastAsia="zh-CN"/>
                    </w:rPr>
                    <w:t>生产</w:t>
                  </w:r>
                  <w:r>
                    <w:rPr>
                      <w:rFonts w:hint="eastAsia" w:ascii="宋体" w:hAnsi="宋体" w:eastAsia="宋体" w:cs="Times New Roman"/>
                      <w:lang w:val="en-GB"/>
                    </w:rPr>
                    <w:t>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GB"/>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合同按时完成率100%</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按时完成数/合同总数*100%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val="en-GB" w:eastAsia="zh-CN"/>
                    </w:rPr>
                    <w:t>购销部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顾客满意率≥96分</w:t>
                  </w:r>
                </w:p>
              </w:tc>
              <w:tc>
                <w:tcPr>
                  <w:tcW w:w="3136"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val="en-GB"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pPr>
                </w:p>
              </w:tc>
              <w:tc>
                <w:tcPr>
                  <w:tcW w:w="3136" w:type="dxa"/>
                  <w:shd w:val="clear" w:color="auto" w:fill="auto"/>
                  <w:vAlign w:val="center"/>
                </w:tcPr>
                <w:p>
                  <w:pPr>
                    <w:shd w:val="clear" w:color="auto" w:fill="C7DAF1" w:themeFill="text2" w:themeFillTint="32"/>
                    <w:jc w:val="left"/>
                    <w:rPr>
                      <w:rFonts w:ascii="宋体" w:hAnsi="宋体"/>
                    </w:rPr>
                  </w:pPr>
                </w:p>
              </w:tc>
              <w:tc>
                <w:tcPr>
                  <w:tcW w:w="1350" w:type="dxa"/>
                  <w:shd w:val="clear" w:color="auto" w:fill="auto"/>
                  <w:vAlign w:val="center"/>
                </w:tcPr>
                <w:p>
                  <w:pPr>
                    <w:shd w:val="clear" w:color="auto" w:fill="C7DAF1" w:themeFill="text2" w:themeFillTint="32"/>
                    <w:jc w:val="left"/>
                    <w:rPr>
                      <w:rFonts w:ascii="宋体" w:hAnsi="宋体"/>
                    </w:rPr>
                  </w:pPr>
                </w:p>
              </w:tc>
              <w:tc>
                <w:tcPr>
                  <w:tcW w:w="1774" w:type="dxa"/>
                  <w:shd w:val="clear" w:color="auto" w:fill="auto"/>
                  <w:vAlign w:val="center"/>
                </w:tcPr>
                <w:p>
                  <w:pPr>
                    <w:shd w:val="clear" w:color="auto" w:fill="C7DAF1" w:themeFill="text2" w:themeFillTint="32"/>
                    <w:jc w:val="left"/>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500</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1</w:t>
            </w:r>
            <w:r>
              <w:rPr>
                <w:rFonts w:hint="eastAsia"/>
                <w:highlight w:val="none"/>
              </w:rPr>
              <w:t>个；实验室</w:t>
            </w:r>
            <w:r>
              <w:rPr>
                <w:rFonts w:hint="eastAsia"/>
                <w:highlight w:val="none"/>
                <w:lang w:val="en-US" w:eastAsia="zh-CN"/>
              </w:rPr>
              <w:t xml:space="preserve"> 1 </w:t>
            </w:r>
            <w:r>
              <w:rPr>
                <w:rFonts w:hint="eastAsia"/>
                <w:highlight w:val="none"/>
              </w:rPr>
              <w:t>个；</w:t>
            </w:r>
          </w:p>
          <w:p>
            <w:pPr>
              <w:shd w:val="clear" w:color="auto" w:fill="C7DAF1" w:themeFill="text2" w:themeFillTint="32"/>
              <w:rPr>
                <w:highlight w:val="none"/>
                <w:u w:val="single"/>
              </w:rPr>
            </w:pPr>
            <w:r>
              <w:rPr>
                <w:rFonts w:hint="eastAsia"/>
                <w:highlight w:val="none"/>
              </w:rPr>
              <w:t>主要生产设备</w:t>
            </w:r>
            <w:r>
              <w:rPr>
                <w:rFonts w:hint="eastAsia"/>
                <w:highlight w:val="none"/>
              </w:rPr>
              <w:t>有：</w:t>
            </w:r>
            <w:r>
              <w:rPr>
                <w:rFonts w:hint="eastAsia" w:ascii="宋体" w:hAnsi="宋体" w:eastAsia="宋体" w:cs="宋体"/>
                <w:szCs w:val="21"/>
                <w:highlight w:val="none"/>
                <w:lang w:val="en-US" w:eastAsia="zh-CN"/>
              </w:rPr>
              <w:t>减速机、离子水罐、反应釜、滴加罐、预混罐、储存罐</w:t>
            </w:r>
            <w:r>
              <w:rPr>
                <w:rFonts w:hint="eastAsia" w:ascii="宋体" w:hAnsi="宋体" w:eastAsia="宋体" w:cs="宋体"/>
                <w:szCs w:val="21"/>
                <w:highlight w:val="none"/>
              </w:rPr>
              <w:t>等</w:t>
            </w:r>
            <w:r>
              <w:rPr>
                <w:rFonts w:hint="eastAsia" w:eastAsia="宋体"/>
                <w:highlight w:val="none"/>
                <w:lang w:val="en-US" w:eastAsia="zh-CN"/>
              </w:rPr>
              <w:t xml:space="preserve">   </w:t>
            </w:r>
          </w:p>
          <w:p>
            <w:pPr>
              <w:shd w:val="clear" w:color="auto" w:fill="C7DAF1" w:themeFill="text2" w:themeFillTint="32"/>
              <w:rPr>
                <w:rFonts w:hint="default" w:eastAsia="宋体"/>
                <w:highlight w:val="none"/>
                <w:lang w:val="en-US" w:eastAsia="zh-CN"/>
              </w:rPr>
            </w:pPr>
            <w:r>
              <w:rPr>
                <w:rFonts w:hint="eastAsia"/>
                <w:highlight w:val="none"/>
              </w:rPr>
              <w:t>特种设备：</w:t>
            </w:r>
            <w:r>
              <w:rPr>
                <w:rFonts w:hint="eastAsia"/>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C7DAF1" w:themeFill="text2" w:themeFillTint="32"/>
              <w:rPr>
                <w:rFonts w:hint="default" w:eastAsia="宋体"/>
                <w:highlight w:val="none"/>
                <w:u w:val="single"/>
                <w:lang w:val="en-US" w:eastAsia="zh-CN"/>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eastAsia="zh-CN"/>
              </w:rPr>
              <w:t>水泥胶砂流动度测定仪、电热恒温鼓风干燥箱、水泥粘度凝结测定仪、电子天平、电液式压力试验机、单卧轴强制式混凝土搅拌机</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rPr>
                      <w:rFonts w:hint="eastAsia" w:eastAsia="宋体"/>
                      <w:lang w:eastAsia="zh-CN"/>
                    </w:rPr>
                  </w:pPr>
                  <w:r>
                    <w:rPr>
                      <w:rFonts w:hint="eastAsia" w:eastAsia="宋体"/>
                      <w:sz w:val="20"/>
                      <w:lang w:eastAsia="zh-CN"/>
                    </w:rPr>
                    <w:t>混凝土外加剂的生产</w:t>
                  </w:r>
                </w:p>
              </w:tc>
              <w:tc>
                <w:tcPr>
                  <w:tcW w:w="2543" w:type="dxa"/>
                </w:tcPr>
                <w:p>
                  <w:pPr>
                    <w:rPr>
                      <w:rFonts w:hint="eastAsia" w:ascii="Times New Roman" w:hAnsi="Times New Roman" w:eastAsia="宋体" w:cs="Times New Roman"/>
                      <w:sz w:val="20"/>
                      <w:lang w:eastAsia="zh-CN"/>
                    </w:rPr>
                  </w:pPr>
                  <w:r>
                    <w:rPr>
                      <w:rFonts w:hint="eastAsia" w:ascii="Times New Roman" w:hAnsi="Times New Roman" w:eastAsia="宋体" w:cs="Times New Roman"/>
                      <w:sz w:val="20"/>
                      <w:lang w:val="en-US" w:eastAsia="zh-CN"/>
                    </w:rPr>
                    <w:t>关键过程：配料，</w:t>
                  </w:r>
                </w:p>
              </w:tc>
              <w:tc>
                <w:tcPr>
                  <w:tcW w:w="3265" w:type="dxa"/>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控制内容：</w:t>
                  </w:r>
                  <w:r>
                    <w:rPr>
                      <w:rFonts w:hint="eastAsia" w:ascii="Times New Roman" w:hAnsi="Times New Roman" w:eastAsia="宋体" w:cs="Times New Roman"/>
                      <w:sz w:val="20"/>
                      <w:lang w:eastAsia="zh-CN"/>
                    </w:rPr>
                    <w:t>混合搅拌控制配方、投放顺序及搅拌时间</w:t>
                  </w:r>
                  <w:r>
                    <w:rPr>
                      <w:rFonts w:hint="eastAsia" w:ascii="Times New Roman" w:hAnsi="Times New Roman" w:eastAsia="宋体" w:cs="Times New Roman"/>
                      <w:sz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ascii="宋体" w:hAnsi="宋体" w:cs="宋体"/>
                <w:color w:val="000000"/>
                <w:sz w:val="21"/>
                <w:szCs w:val="21"/>
                <w:u w:val="single"/>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eastAsia="宋体"/>
              </w:rPr>
              <w:t>《型式检验报告》，</w:t>
            </w:r>
            <w:r>
              <w:rPr>
                <w:rFonts w:hint="eastAsia"/>
              </w:rPr>
              <w:t>如：</w:t>
            </w:r>
            <w:r>
              <w:rPr>
                <w:rFonts w:hint="eastAsia"/>
                <w:lang w:val="en-US" w:eastAsia="zh-CN"/>
              </w:rPr>
              <w:t>报告编号：CJ21-8902,产品名称：缓凝型高性能减水剂，检验依据：GB8076-2008标准，结论：合格，日期：2021.12.10</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2021年10月8-9日</w:t>
            </w:r>
            <w:r>
              <w:rPr>
                <w:rFonts w:hint="eastAsia"/>
                <w:highlight w:val="none"/>
              </w:rPr>
              <w:t>实施了质量管理体</w:t>
            </w:r>
            <w:r>
              <w:rPr>
                <w:rFonts w:hint="eastAsia"/>
              </w:rPr>
              <w:t>系内部审核，对质量管理体系的符合性和有效性进行了</w:t>
            </w:r>
            <w:r>
              <w:rPr>
                <w:rFonts w:hint="eastAsia"/>
                <w:highlight w:val="none"/>
              </w:rPr>
              <w:t>审核。内审发现的</w:t>
            </w:r>
            <w:r>
              <w:rPr>
                <w:rFonts w:hint="eastAsia"/>
                <w:highlight w:val="none"/>
                <w:u w:val="single"/>
                <w:lang w:val="en-US" w:eastAsia="zh-CN"/>
              </w:rPr>
              <w:t>1</w:t>
            </w:r>
            <w:r>
              <w:rPr>
                <w:rFonts w:hint="eastAsia"/>
                <w:highlight w:val="none"/>
                <w:u w:val="single"/>
              </w:rPr>
              <w:t>项</w:t>
            </w:r>
            <w:r>
              <w:rPr>
                <w:rFonts w:hint="eastAsia"/>
                <w:highlight w:val="none"/>
              </w:rPr>
              <w:t>不符合在本次</w:t>
            </w:r>
            <w:r>
              <w:rPr>
                <w:rFonts w:hint="eastAsia"/>
              </w:rPr>
              <w:t>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2021年10月21日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u w:val="single"/>
              </w:rPr>
            </w:pPr>
            <w:r>
              <w:rPr>
                <w:rFonts w:hint="eastAsia"/>
              </w:rPr>
              <w:t>最高管理者制定了文件化的管理体系方针</w:t>
            </w:r>
            <w:r>
              <w:rPr>
                <w:rFonts w:hint="eastAsia"/>
                <w:u w:val="single"/>
              </w:rPr>
              <w:t>：</w:t>
            </w:r>
            <w:r>
              <w:rPr>
                <w:rFonts w:hint="eastAsia"/>
                <w:u w:val="single"/>
                <w:lang w:eastAsia="zh-CN"/>
              </w:rPr>
              <w:t>“</w:t>
            </w:r>
            <w:r>
              <w:rPr>
                <w:rFonts w:hint="eastAsia" w:ascii="宋体" w:hAnsi="宋体" w:cs="宋体"/>
                <w:szCs w:val="21"/>
                <w:u w:val="single"/>
              </w:rPr>
              <w:t>坚持走可持续发展之路，倡导绿色环保思想，遵守法律法规，从产品生产到服务的全过程，实行污染预防和持续改进</w:t>
            </w:r>
            <w:r>
              <w:rPr>
                <w:rFonts w:hint="eastAsia"/>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lang w:eastAsia="zh-CN"/>
              </w:rPr>
              <w:t>■</w:t>
            </w:r>
            <w:r>
              <w:rPr>
                <w:rFonts w:hint="eastAsia"/>
                <w:highlight w:val="none"/>
              </w:rPr>
              <w:t>能源消耗□资源消耗</w:t>
            </w:r>
            <w:r>
              <w:rPr>
                <w:rFonts w:hint="eastAsia"/>
                <w:highlight w:val="none"/>
                <w:lang w:eastAsia="zh-CN"/>
              </w:rPr>
              <w:t>■</w:t>
            </w:r>
            <w:r>
              <w:rPr>
                <w:rFonts w:hint="eastAsia"/>
                <w:highlight w:val="none"/>
              </w:rPr>
              <w:t>废水排放□废气排放</w:t>
            </w:r>
            <w:r>
              <w:rPr>
                <w:rFonts w:hint="eastAsia"/>
                <w:highlight w:val="none"/>
                <w:lang w:eastAsia="zh-CN"/>
              </w:rPr>
              <w:t>■</w:t>
            </w:r>
            <w:r>
              <w:rPr>
                <w:rFonts w:hint="eastAsia"/>
                <w:highlight w:val="none"/>
              </w:rPr>
              <w:t>粉尘排放</w:t>
            </w:r>
            <w:r>
              <w:rPr>
                <w:rFonts w:hint="eastAsia"/>
                <w:highlight w:val="none"/>
                <w:lang w:eastAsia="zh-CN"/>
              </w:rPr>
              <w:t>■</w:t>
            </w:r>
            <w:r>
              <w:rPr>
                <w:rFonts w:hint="eastAsia"/>
                <w:highlight w:val="none"/>
              </w:rPr>
              <w:t>危废排放</w:t>
            </w:r>
            <w:r>
              <w:rPr>
                <w:rFonts w:hint="eastAsia"/>
                <w:highlight w:val="none"/>
                <w:lang w:eastAsia="zh-CN"/>
              </w:rPr>
              <w:t>■</w:t>
            </w:r>
            <w:r>
              <w:rPr>
                <w:rFonts w:hint="eastAsia"/>
                <w:highlight w:val="none"/>
              </w:rPr>
              <w:t>噪声排放□危化品泄露□压力容器爆炸</w:t>
            </w:r>
            <w:r>
              <w:rPr>
                <w:rFonts w:hint="eastAsia"/>
                <w:highlight w:val="none"/>
                <w:lang w:eastAsia="zh-CN"/>
              </w:rPr>
              <w:t>■</w:t>
            </w:r>
            <w:r>
              <w:rPr>
                <w:rFonts w:hint="eastAsia"/>
                <w:highlight w:val="none"/>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highlight w:val="none"/>
              </w:rPr>
            </w:pPr>
            <w:r>
              <w:rPr>
                <w:rFonts w:hint="eastAsia"/>
              </w:rPr>
              <w:t>□</w:t>
            </w:r>
            <w:r>
              <w:rPr>
                <w:rFonts w:hint="eastAsia"/>
                <w:highlight w:val="none"/>
              </w:rPr>
              <w:t>安全生产许可证编号：</w:t>
            </w:r>
          </w:p>
          <w:p>
            <w:pPr>
              <w:shd w:val="clear" w:color="auto" w:fill="EBF1DE" w:themeFill="accent3" w:themeFillTint="32"/>
              <w:rPr>
                <w:rFonts w:hint="eastAsia"/>
                <w:highlight w:val="none"/>
              </w:rPr>
            </w:pPr>
            <w:r>
              <w:rPr>
                <w:rFonts w:hint="eastAsia"/>
                <w:highlight w:val="none"/>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生产、生活废弃物分类收集处理率100%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eastAsia="zh-CN"/>
                    </w:rPr>
                  </w:pPr>
                  <w:r>
                    <w:rPr>
                      <w:rFonts w:hint="eastAsia" w:ascii="宋体" w:hAnsi="宋体"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eastAsia="宋体" w:cs="Times New Roman"/>
                    </w:rPr>
                  </w:pP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p>
              </w:tc>
              <w:tc>
                <w:tcPr>
                  <w:tcW w:w="1350" w:type="dxa"/>
                  <w:shd w:val="clear" w:color="auto" w:fill="auto"/>
                  <w:vAlign w:val="center"/>
                </w:tcPr>
                <w:p>
                  <w:pPr>
                    <w:shd w:val="clear" w:color="auto" w:fill="EBF1DE" w:themeFill="accent3" w:themeFillTint="32"/>
                    <w:rPr>
                      <w:rFonts w:hint="eastAsia"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5620"/>
                    </w:tabs>
                    <w:spacing w:line="300" w:lineRule="exact"/>
                    <w:jc w:val="left"/>
                    <w:outlineLvl w:val="0"/>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建筑面积</w:t>
            </w:r>
            <w:r>
              <w:rPr>
                <w:rFonts w:hint="eastAsia" w:eastAsia="宋体"/>
                <w:highlight w:val="none"/>
                <w:lang w:val="en-US" w:eastAsia="zh-CN"/>
              </w:rPr>
              <w:t>5</w:t>
            </w:r>
            <w:r>
              <w:rPr>
                <w:rFonts w:hint="eastAsia"/>
                <w:highlight w:val="none"/>
                <w:lang w:val="en-US" w:eastAsia="zh-CN"/>
              </w:rPr>
              <w:t>00</w:t>
            </w:r>
            <w:r>
              <w:rPr>
                <w:rFonts w:hint="eastAsia" w:eastAsia="宋体"/>
                <w:highlight w:val="none"/>
              </w:rPr>
              <w:t>平方米；生产车间</w:t>
            </w:r>
            <w:r>
              <w:rPr>
                <w:rFonts w:hint="eastAsia"/>
                <w:highlight w:val="none"/>
                <w:lang w:val="en-US" w:eastAsia="zh-CN"/>
              </w:rPr>
              <w:t>1</w:t>
            </w:r>
            <w:r>
              <w:rPr>
                <w:rFonts w:hint="eastAsia" w:eastAsia="宋体"/>
                <w:highlight w:val="none"/>
              </w:rPr>
              <w:t>个；库房</w:t>
            </w:r>
            <w:r>
              <w:rPr>
                <w:rFonts w:hint="eastAsia" w:eastAsia="宋体"/>
                <w:highlight w:val="none"/>
                <w:lang w:val="en-US" w:eastAsia="zh-CN"/>
              </w:rPr>
              <w:t>1</w:t>
            </w:r>
            <w:r>
              <w:rPr>
                <w:rFonts w:hint="eastAsia" w:eastAsia="宋体"/>
                <w:highlight w:val="none"/>
              </w:rPr>
              <w:t>个；实验室</w:t>
            </w:r>
            <w:r>
              <w:rPr>
                <w:rFonts w:hint="eastAsia" w:eastAsia="宋体"/>
                <w:highlight w:val="none"/>
                <w:lang w:val="en-US" w:eastAsia="zh-CN"/>
              </w:rPr>
              <w:t xml:space="preserve"> </w:t>
            </w:r>
            <w:r>
              <w:rPr>
                <w:rFonts w:hint="eastAsia" w:eastAsia="宋体"/>
                <w:highlight w:val="none"/>
              </w:rPr>
              <w:t>个；</w:t>
            </w:r>
          </w:p>
          <w:p>
            <w:pPr>
              <w:shd w:val="clear" w:color="auto" w:fill="EBF1DE" w:themeFill="accent3" w:themeFillTint="32"/>
              <w:rPr>
                <w:rFonts w:hint="eastAsia" w:eastAsia="宋体"/>
                <w:highlight w:val="none"/>
              </w:rPr>
            </w:pPr>
            <w:r>
              <w:rPr>
                <w:rFonts w:hint="eastAsia" w:eastAsia="宋体"/>
              </w:rPr>
              <w:t>主要生产设</w:t>
            </w:r>
            <w:r>
              <w:rPr>
                <w:rFonts w:hint="eastAsia" w:eastAsia="宋体"/>
                <w:highlight w:val="none"/>
              </w:rPr>
              <w:t>备有：</w:t>
            </w:r>
            <w:r>
              <w:rPr>
                <w:rFonts w:hint="eastAsia" w:eastAsia="宋体"/>
                <w:highlight w:val="none"/>
                <w:lang w:eastAsia="zh-CN"/>
              </w:rPr>
              <w:t>减速机、离子水罐、反应釜、滴加罐、预混罐、储存罐</w:t>
            </w:r>
            <w:r>
              <w:rPr>
                <w:rFonts w:hint="eastAsia" w:eastAsia="宋体"/>
                <w:highlight w:val="none"/>
              </w:rPr>
              <w:t>等</w:t>
            </w:r>
            <w:r>
              <w:rPr>
                <w:rFonts w:hint="eastAsia" w:eastAsia="宋体"/>
                <w:highlight w:val="none"/>
                <w:lang w:val="en-US" w:eastAsia="zh-CN"/>
              </w:rPr>
              <w:t xml:space="preserve"> </w:t>
            </w:r>
          </w:p>
          <w:p>
            <w:pPr>
              <w:shd w:val="clear" w:color="auto" w:fill="EBF1DE" w:themeFill="accent3" w:themeFillTint="32"/>
              <w:rPr>
                <w:rFonts w:hint="eastAsia" w:eastAsia="宋体"/>
                <w:highlight w:val="none"/>
              </w:rPr>
            </w:pPr>
            <w:r>
              <w:rPr>
                <w:rFonts w:hint="eastAsia" w:eastAsia="宋体"/>
                <w:highlight w:val="none"/>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highlight w:val="none"/>
                <w:u w:val="single"/>
                <w:lang w:val="en-US" w:eastAsia="zh-CN"/>
              </w:rPr>
            </w:pPr>
            <w:r>
              <w:rPr>
                <w:rFonts w:hint="eastAsia"/>
                <w:highlight w:val="none"/>
              </w:rPr>
              <w:t>环境监测的计量器具有：</w:t>
            </w:r>
            <w:r>
              <w:rPr>
                <w:rFonts w:hint="eastAsia"/>
                <w:highlight w:val="none"/>
                <w:lang w:val="en-US" w:eastAsia="zh-CN"/>
              </w:rPr>
              <w:t>无</w:t>
            </w:r>
          </w:p>
          <w:p>
            <w:pPr>
              <w:shd w:val="clear" w:color="auto" w:fill="EBF1DE" w:themeFill="accent3"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vAlign w:val="top"/>
                </w:tcPr>
                <w:p>
                  <w:pPr>
                    <w:shd w:val="clear" w:color="auto" w:fill="EBF1DE" w:themeFill="accent3" w:themeFillTint="32"/>
                    <w:jc w:val="left"/>
                    <w:rPr>
                      <w:highlight w:val="none"/>
                    </w:rPr>
                  </w:pPr>
                </w:p>
              </w:tc>
              <w:tc>
                <w:tcPr>
                  <w:tcW w:w="3265" w:type="dxa"/>
                  <w:vAlign w:val="top"/>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vAlign w:val="top"/>
                </w:tcPr>
                <w:p>
                  <w:pPr>
                    <w:shd w:val="clear" w:color="auto" w:fill="EBF1DE" w:themeFill="accent3" w:themeFillTint="32"/>
                    <w:jc w:val="left"/>
                    <w:rPr>
                      <w:highlight w:val="none"/>
                    </w:rPr>
                  </w:pPr>
                </w:p>
              </w:tc>
              <w:tc>
                <w:tcPr>
                  <w:tcW w:w="3265" w:type="dxa"/>
                  <w:vAlign w:val="top"/>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rFonts w:hint="default"/>
                      <w:highlight w:val="none"/>
                      <w:lang w:val="en-US"/>
                    </w:rPr>
                  </w:pPr>
                  <w:r>
                    <w:rPr>
                      <w:rFonts w:hint="eastAsia" w:ascii="宋体" w:hAnsi="宋体" w:cs="Times New Roman"/>
                      <w:kern w:val="2"/>
                      <w:sz w:val="21"/>
                      <w:szCs w:val="21"/>
                      <w:highlight w:val="none"/>
                      <w:lang w:val="en-US" w:eastAsia="zh-CN" w:bidi="ar-SA"/>
                    </w:rPr>
                    <w:t>固废园区管理。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粉尘排放</w:t>
                  </w:r>
                </w:p>
              </w:tc>
              <w:tc>
                <w:tcPr>
                  <w:tcW w:w="3665" w:type="dxa"/>
                  <w:vAlign w:val="top"/>
                </w:tcPr>
                <w:p>
                  <w:pPr>
                    <w:shd w:val="clear" w:color="auto" w:fill="EBF1DE" w:themeFill="accent3" w:themeFillTint="32"/>
                    <w:jc w:val="left"/>
                    <w:rPr>
                      <w:highlight w:val="none"/>
                    </w:rPr>
                  </w:pPr>
                  <w:r>
                    <w:rPr>
                      <w:rFonts w:hint="eastAsia" w:ascii="宋体" w:hAnsi="宋体"/>
                      <w:szCs w:val="21"/>
                      <w:highlight w:val="none"/>
                    </w:rPr>
                    <w:t>环境管理方案、运行控制程序</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vAlign w:val="top"/>
                </w:tcPr>
                <w:p>
                  <w:pPr>
                    <w:spacing w:line="360" w:lineRule="exact"/>
                    <w:rPr>
                      <w:rFonts w:hint="eastAsia" w:ascii="宋体" w:hAnsi="宋体"/>
                      <w:szCs w:val="21"/>
                      <w:highlight w:val="none"/>
                    </w:rPr>
                  </w:pPr>
                  <w:r>
                    <w:rPr>
                      <w:rFonts w:hint="eastAsia" w:ascii="宋体" w:hAnsi="宋体"/>
                      <w:szCs w:val="21"/>
                      <w:highlight w:val="none"/>
                    </w:rPr>
                    <w:t xml:space="preserve">制定环境管理方案、运行控制程序   </w:t>
                  </w:r>
                </w:p>
                <w:p>
                  <w:pPr>
                    <w:shd w:val="clear" w:color="auto" w:fill="EBF1DE" w:themeFill="accent3" w:themeFillTint="32"/>
                    <w:jc w:val="left"/>
                    <w:rPr>
                      <w:highlight w:val="none"/>
                    </w:rPr>
                  </w:pPr>
                  <w:r>
                    <w:rPr>
                      <w:rFonts w:hint="eastAsia" w:ascii="宋体" w:hAnsi="宋体"/>
                      <w:szCs w:val="21"/>
                      <w:highlight w:val="none"/>
                    </w:rPr>
                    <w:t>应急预案及 应急演练</w:t>
                  </w:r>
                </w:p>
              </w:tc>
              <w:tc>
                <w:tcPr>
                  <w:tcW w:w="3265" w:type="dxa"/>
                  <w:vAlign w:val="center"/>
                </w:tcPr>
                <w:p>
                  <w:pPr>
                    <w:spacing w:line="360" w:lineRule="exact"/>
                    <w:ind w:firstLine="105" w:firstLineChars="50"/>
                    <w:rPr>
                      <w:highlight w:val="none"/>
                    </w:rPr>
                  </w:pPr>
                  <w:r>
                    <w:rPr>
                      <w:rFonts w:hint="eastAsia" w:ascii="宋体" w:hAnsi="宋体" w:cs="Times New Roman"/>
                      <w:kern w:val="2"/>
                      <w:sz w:val="21"/>
                      <w:szCs w:val="21"/>
                      <w:highlight w:val="none"/>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highlight w:val="yellow"/>
                <w:u w:val="single"/>
                <w:lang w:val="en-US" w:eastAsia="zh-CN"/>
              </w:rPr>
            </w:pPr>
            <w:r>
              <w:rPr>
                <w:rFonts w:hint="eastAsia"/>
                <w:highlight w:val="yellow"/>
              </w:rPr>
              <w:t>特种设备管理：</w:t>
            </w:r>
            <w:r>
              <w:rPr>
                <w:rFonts w:hint="eastAsia"/>
                <w:highlight w:val="yellow"/>
                <w:lang w:eastAsia="zh-CN"/>
              </w:rPr>
              <w:t>■</w:t>
            </w:r>
            <w:r>
              <w:rPr>
                <w:rFonts w:hint="eastAsia"/>
                <w:highlight w:val="yellow"/>
              </w:rPr>
              <w:t>进行了定期检验</w:t>
            </w:r>
            <w:r>
              <w:rPr>
                <w:rFonts w:hint="eastAsia" w:ascii="Wingdings" w:hAnsi="Wingdings"/>
                <w:highlight w:val="yellow"/>
                <w:lang w:eastAsia="zh-CN"/>
              </w:rPr>
              <w:t>□</w:t>
            </w:r>
            <w:r>
              <w:rPr>
                <w:rFonts w:hint="eastAsia"/>
                <w:highlight w:val="yellow"/>
              </w:rPr>
              <w:t>未进行定期检验的有：</w:t>
            </w:r>
          </w:p>
          <w:p>
            <w:pPr>
              <w:shd w:val="clear" w:color="auto" w:fill="EBF1DE" w:themeFill="accent3" w:themeFillTint="32"/>
              <w:rPr>
                <w:rFonts w:hint="default"/>
                <w:lang w:val="en-US"/>
              </w:rPr>
            </w:pPr>
            <w:r>
              <w:rPr>
                <w:rFonts w:hint="eastAsia"/>
                <w:highlight w:val="yellow"/>
              </w:rPr>
              <w:t>特种设备检测报告，如：</w:t>
            </w:r>
            <w:r>
              <w:rPr>
                <w:rFonts w:hint="eastAsia"/>
                <w:highlight w:val="yellow"/>
                <w:lang w:val="en-US" w:eastAsia="zh-CN"/>
              </w:rPr>
              <w:t>叉车，报告编号：QZSJ202100198.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17</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highlight w:val="none"/>
              </w:rPr>
            </w:pPr>
            <w:r>
              <w:rPr>
                <w:rFonts w:hint="eastAsia"/>
              </w:rPr>
              <w:t>实</w:t>
            </w:r>
            <w:r>
              <w:rPr>
                <w:rFonts w:hint="eastAsia"/>
                <w:highlight w:val="none"/>
              </w:rPr>
              <w:t>施合规性评价的时间：</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定期（每年）：</w:t>
            </w:r>
            <w:r>
              <w:rPr>
                <w:rFonts w:hint="eastAsia"/>
                <w:highlight w:val="none"/>
                <w:lang w:val="en-US" w:eastAsia="zh-CN"/>
              </w:rPr>
              <w:t>2021</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29</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2021年10月8-9日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2021年10月21日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GB"/>
              </w:rPr>
            </w:pPr>
            <w:r>
              <w:rPr>
                <w:rFonts w:hint="eastAsia"/>
                <w:lang w:val="en-GB"/>
              </w:rPr>
              <w:t>最高管理者制定了文件化的职业健康安全管理体系方针：</w:t>
            </w:r>
            <w:r>
              <w:rPr>
                <w:rFonts w:hint="eastAsia"/>
                <w:lang w:val="en-GB" w:eastAsia="zh-CN"/>
              </w:rPr>
              <w:t>“</w:t>
            </w:r>
            <w:r>
              <w:rPr>
                <w:rFonts w:hint="eastAsia" w:ascii="宋体" w:hAnsi="宋体" w:cs="宋体"/>
                <w:szCs w:val="21"/>
              </w:rPr>
              <w:t>保障健康、安全生产、以人为本、永续发展、遵守法规、持续改进</w:t>
            </w:r>
            <w:r>
              <w:rPr>
                <w:rFonts w:hint="eastAsia"/>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highlight w:val="none"/>
              </w:rPr>
            </w:pPr>
            <w:r>
              <w:rPr>
                <w:rFonts w:hint="eastAsia"/>
                <w:highlight w:val="none"/>
              </w:rPr>
              <w:t>员工代表是—</w:t>
            </w:r>
            <w:r>
              <w:rPr>
                <w:rFonts w:hint="eastAsia" w:ascii="Times New Roman" w:hAnsi="Times New Roman" w:cs="Times New Roman"/>
                <w:highlight w:val="none"/>
                <w:u w:val="single"/>
                <w:lang w:eastAsia="zh-CN"/>
              </w:rPr>
              <w:t>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tabs>
                      <w:tab w:val="left" w:pos="5620"/>
                    </w:tabs>
                    <w:spacing w:line="300" w:lineRule="exact"/>
                    <w:jc w:val="left"/>
                    <w:outlineLvl w:val="0"/>
                    <w:rPr>
                      <w:rFonts w:hint="default" w:eastAsia="宋体"/>
                      <w:highlight w:val="none"/>
                      <w:lang w:val="en-US" w:eastAsia="zh-CN"/>
                    </w:rPr>
                  </w:pPr>
                  <w:r>
                    <w:rPr>
                      <w:rFonts w:hint="eastAsia"/>
                      <w:bCs/>
                      <w:color w:val="000000"/>
                    </w:rPr>
                    <w:t>重大安全事故为0</w:t>
                  </w:r>
                </w:p>
              </w:tc>
              <w:tc>
                <w:tcPr>
                  <w:tcW w:w="3965" w:type="dxa"/>
                  <w:vAlign w:val="top"/>
                </w:tcPr>
                <w:p>
                  <w:pPr>
                    <w:rPr>
                      <w:rFonts w:hint="default" w:eastAsia="宋体"/>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tabs>
                      <w:tab w:val="left" w:pos="5620"/>
                    </w:tabs>
                    <w:spacing w:line="300" w:lineRule="exact"/>
                    <w:jc w:val="left"/>
                    <w:outlineLvl w:val="0"/>
                    <w:rPr>
                      <w:rFonts w:hint="eastAsia" w:eastAsia="宋体"/>
                      <w:highlight w:val="none"/>
                      <w:lang w:val="en-US" w:eastAsia="zh-CN"/>
                    </w:rPr>
                  </w:pPr>
                  <w:r>
                    <w:rPr>
                      <w:rFonts w:hint="eastAsia"/>
                      <w:bCs/>
                      <w:color w:val="000000"/>
                    </w:rPr>
                    <w:t>火灾事故为0</w:t>
                  </w:r>
                </w:p>
              </w:tc>
              <w:tc>
                <w:tcPr>
                  <w:tcW w:w="3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p>
              </w:tc>
              <w:tc>
                <w:tcPr>
                  <w:tcW w:w="3965" w:type="dxa"/>
                  <w:vAlign w:val="top"/>
                </w:tcPr>
                <w:p>
                  <w:pPr>
                    <w:rPr>
                      <w:rFonts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p>
              </w:tc>
              <w:tc>
                <w:tcPr>
                  <w:tcW w:w="3965" w:type="dxa"/>
                  <w:vAlign w:val="top"/>
                </w:tcPr>
                <w:p>
                  <w:pPr>
                    <w:rPr>
                      <w:rFonts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w:t>
            </w:r>
            <w:r>
              <w:rPr>
                <w:rFonts w:hint="eastAsia"/>
                <w:lang w:eastAsia="zh-CN"/>
              </w:rPr>
              <w:t>■</w:t>
            </w:r>
            <w:r>
              <w:rPr>
                <w:rFonts w:hint="eastAsia"/>
              </w:rPr>
              <w:t xml:space="preserve">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highlight w:val="none"/>
              </w:rPr>
            </w:pPr>
            <w:r>
              <w:rPr>
                <w:rFonts w:hint="eastAsia"/>
                <w:highlight w:val="none"/>
              </w:rPr>
              <w:t xml:space="preserve">□安全预评估报告日期：  </w:t>
            </w:r>
          </w:p>
          <w:p>
            <w:pPr>
              <w:rPr>
                <w:highlight w:val="none"/>
              </w:rPr>
            </w:pPr>
            <w:r>
              <w:rPr>
                <w:rFonts w:hint="eastAsia"/>
                <w:highlight w:val="none"/>
              </w:rPr>
              <w:t>□安全现状评估报告表日期：</w:t>
            </w:r>
          </w:p>
          <w:p>
            <w:pPr>
              <w:rPr>
                <w:highlight w:val="none"/>
              </w:rPr>
            </w:pPr>
            <w:r>
              <w:rPr>
                <w:rFonts w:hint="eastAsia"/>
                <w:highlight w:val="none"/>
                <w:lang w:eastAsia="zh-CN"/>
              </w:rPr>
              <w:t>■</w:t>
            </w:r>
            <w:r>
              <w:rPr>
                <w:rFonts w:hint="eastAsia"/>
                <w:highlight w:val="none"/>
              </w:rPr>
              <w:t>职业病体检报告书日期：</w:t>
            </w:r>
            <w:r>
              <w:rPr>
                <w:rFonts w:hint="eastAsia"/>
                <w:highlight w:val="none"/>
                <w:lang w:val="en-US" w:eastAsia="zh-CN"/>
              </w:rPr>
              <w:t>2024年04月15日。</w:t>
            </w:r>
            <w:r>
              <w:rPr>
                <w:rFonts w:hint="eastAsia"/>
                <w:highlight w:val="none"/>
              </w:rPr>
              <w:t xml:space="preserve">   </w:t>
            </w:r>
          </w:p>
          <w:p>
            <w:pPr>
              <w:rPr>
                <w:highlight w:val="none"/>
              </w:rPr>
            </w:pP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重大安全事故和伤亡事故为0</w:t>
                  </w:r>
                </w:p>
              </w:tc>
              <w:tc>
                <w:tcPr>
                  <w:tcW w:w="3136"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通过管理方案和预案措施、应急演练进行管理</w:t>
                  </w:r>
                </w:p>
              </w:tc>
              <w:tc>
                <w:tcPr>
                  <w:tcW w:w="1350" w:type="dxa"/>
                  <w:shd w:val="clear" w:color="auto" w:fill="auto"/>
                  <w:vAlign w:val="center"/>
                </w:tcPr>
                <w:p>
                  <w:pPr>
                    <w:jc w:val="center"/>
                    <w:rPr>
                      <w:rFonts w:hint="eastAsia" w:eastAsia="宋体"/>
                      <w:lang w:val="en-GB" w:eastAsia="zh-CN"/>
                    </w:rPr>
                  </w:pPr>
                  <w:r>
                    <w:rPr>
                      <w:rFonts w:hint="eastAsia"/>
                      <w:lang w:val="en-US" w:eastAsia="zh-CN"/>
                    </w:rPr>
                    <w:t>行政部</w:t>
                  </w:r>
                </w:p>
              </w:tc>
              <w:tc>
                <w:tcPr>
                  <w:tcW w:w="1774" w:type="dxa"/>
                  <w:shd w:val="clear" w:color="auto" w:fill="auto"/>
                  <w:vAlign w:val="center"/>
                </w:tcPr>
                <w:p>
                  <w:pPr>
                    <w:jc w:val="center"/>
                    <w:rPr>
                      <w:rFonts w:ascii="宋体" w:hAnsi="宋体"/>
                      <w:lang w:val="en-GB"/>
                    </w:rPr>
                  </w:pPr>
                  <w:r>
                    <w:rPr>
                      <w:rFonts w:hint="eastAsia" w:ascii="宋体" w:hAnsi="宋体"/>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火灾事故为0</w:t>
                  </w:r>
                </w:p>
              </w:tc>
              <w:tc>
                <w:tcPr>
                  <w:tcW w:w="3136"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通过管理方案和预案措施、应急演练进行管理</w:t>
                  </w:r>
                </w:p>
              </w:tc>
              <w:tc>
                <w:tcPr>
                  <w:tcW w:w="1350" w:type="dxa"/>
                  <w:shd w:val="clear" w:color="auto" w:fill="auto"/>
                  <w:vAlign w:val="center"/>
                </w:tcPr>
                <w:p>
                  <w:pPr>
                    <w:jc w:val="center"/>
                    <w:rPr>
                      <w:rFonts w:ascii="宋体" w:hAnsi="宋体"/>
                    </w:rPr>
                  </w:pPr>
                  <w:r>
                    <w:rPr>
                      <w:rFonts w:hint="eastAsia"/>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职业病发生数为0</w:t>
                  </w:r>
                </w:p>
              </w:tc>
              <w:tc>
                <w:tcPr>
                  <w:tcW w:w="3136" w:type="dxa"/>
                  <w:shd w:val="clear" w:color="auto" w:fill="auto"/>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通过管理方案和预案措施</w:t>
                  </w:r>
                </w:p>
              </w:tc>
              <w:tc>
                <w:tcPr>
                  <w:tcW w:w="1350" w:type="dxa"/>
                  <w:shd w:val="clear" w:color="auto" w:fill="auto"/>
                  <w:vAlign w:val="center"/>
                </w:tcPr>
                <w:p>
                  <w:pPr>
                    <w:jc w:val="center"/>
                    <w:rPr>
                      <w:rFonts w:ascii="宋体" w:hAnsi="宋体"/>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500</w:t>
            </w:r>
            <w:r>
              <w:rPr>
                <w:rFonts w:hint="eastAsia" w:ascii="Times New Roman" w:hAnsi="Times New Roman" w:eastAsia="宋体" w:cs="Times New Roman"/>
                <w:highlight w:val="none"/>
              </w:rPr>
              <w:t>平方米；生产车间</w:t>
            </w:r>
            <w:r>
              <w:rPr>
                <w:rFonts w:hint="eastAsia" w:cs="Times New Roman"/>
                <w:highlight w:val="none"/>
                <w:lang w:val="en-US" w:eastAsia="zh-CN"/>
              </w:rPr>
              <w:t>1</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1 </w:t>
            </w:r>
            <w:r>
              <w:rPr>
                <w:rFonts w:hint="eastAsia" w:ascii="Times New Roman" w:hAnsi="Times New Roman" w:eastAsia="宋体" w:cs="Times New Roman"/>
                <w:highlight w:val="none"/>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lang w:eastAsia="zh-CN"/>
              </w:rPr>
              <w:t>减速机、离子水罐、反应釜、滴加罐、预混罐、储存罐</w:t>
            </w:r>
            <w:r>
              <w:rPr>
                <w:rFonts w:hint="eastAsia" w:ascii="Times New Roman" w:hAnsi="Times New Roman" w:eastAsia="宋体" w:cs="Times New Roman"/>
                <w:lang w:eastAsia="zh-C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eastAsia"/>
                <w:highlight w:val="none"/>
              </w:rPr>
            </w:pPr>
            <w:r>
              <w:rPr>
                <w:rFonts w:hint="eastAsia"/>
                <w:highlight w:val="none"/>
              </w:rPr>
              <w:t>职业健康安全监测的计量器具有：</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 xml:space="preserve">漏电保护 </w:t>
                  </w:r>
                  <w:r>
                    <w:rPr>
                      <w:rFonts w:hint="eastAsia"/>
                      <w:highlight w:val="none"/>
                      <w:lang w:eastAsia="zh-CN"/>
                    </w:rPr>
                    <w:t>□</w:t>
                  </w:r>
                  <w:r>
                    <w:rPr>
                      <w:rFonts w:hint="eastAsia"/>
                      <w:highlight w:val="none"/>
                    </w:rPr>
                    <w:t>绝缘用具检测</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lang w:eastAsia="zh-CN"/>
                    </w:rPr>
                    <w:t>■</w:t>
                  </w:r>
                  <w:r>
                    <w:rPr>
                      <w:rFonts w:hint="eastAsia"/>
                      <w:highlight w:val="none"/>
                    </w:rPr>
                    <w:t xml:space="preserve">除尘装置  </w:t>
                  </w:r>
                  <w:r>
                    <w:rPr>
                      <w:rFonts w:hint="eastAsia"/>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lang w:eastAsia="zh-CN"/>
                    </w:rPr>
                    <w:t>■</w:t>
                  </w:r>
                  <w:r>
                    <w:rPr>
                      <w:rFonts w:hint="eastAsia"/>
                      <w:highlight w:val="none"/>
                    </w:rPr>
                    <w:t xml:space="preserve">定期检测  □压力巡视 </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火灾</w:t>
                  </w:r>
                </w:p>
              </w:tc>
              <w:tc>
                <w:tcPr>
                  <w:tcW w:w="4725" w:type="dxa"/>
                  <w:vAlign w:val="top"/>
                </w:tcPr>
                <w:p>
                  <w:pPr>
                    <w:jc w:val="left"/>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highlight w:val="yellow"/>
                <w:u w:val="single"/>
              </w:rPr>
            </w:pPr>
            <w:bookmarkStart w:id="34" w:name="_GoBack"/>
            <w:r>
              <w:rPr>
                <w:rFonts w:hint="eastAsia"/>
                <w:highlight w:val="yellow"/>
              </w:rPr>
              <w:t>特种设备管理：</w:t>
            </w:r>
            <w:r>
              <w:rPr>
                <w:rFonts w:hint="eastAsia" w:ascii="Wingdings" w:hAnsi="Wingdings"/>
                <w:highlight w:val="yellow"/>
                <w:lang w:eastAsia="zh-CN"/>
              </w:rPr>
              <w:t>■</w:t>
            </w:r>
            <w:r>
              <w:rPr>
                <w:rFonts w:hint="eastAsia"/>
                <w:highlight w:val="yellow"/>
              </w:rPr>
              <w:t xml:space="preserve">进行了定期检验  </w:t>
            </w:r>
            <w:r>
              <w:rPr>
                <w:rFonts w:hint="eastAsia" w:ascii="Wingdings" w:hAnsi="Wingdings"/>
                <w:highlight w:val="yellow"/>
                <w:lang w:eastAsia="zh-CN"/>
              </w:rPr>
              <w:t>□</w:t>
            </w:r>
            <w:r>
              <w:rPr>
                <w:rFonts w:hint="eastAsia"/>
                <w:highlight w:val="yellow"/>
              </w:rPr>
              <w:t xml:space="preserve">未进行定期检验的有： </w:t>
            </w:r>
            <w:r>
              <w:rPr>
                <w:rFonts w:hint="eastAsia"/>
                <w:highlight w:val="yellow"/>
                <w:u w:val="single"/>
              </w:rPr>
              <w:t xml:space="preserve">                </w:t>
            </w:r>
          </w:p>
          <w:p>
            <w:r>
              <w:rPr>
                <w:rFonts w:hint="eastAsia"/>
                <w:highlight w:val="yellow"/>
              </w:rPr>
              <w:t>特种设备检测报告，如：</w:t>
            </w:r>
            <w:r>
              <w:rPr>
                <w:rFonts w:hint="eastAsia"/>
                <w:highlight w:val="yellow"/>
                <w:lang w:val="en-US" w:eastAsia="zh-CN"/>
              </w:rPr>
              <w:t>行车，报告编号：QZSJ202100198</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17</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highlight w:val="none"/>
                <w:lang w:val="en-US" w:eastAsia="zh-CN"/>
              </w:rPr>
              <w:t>2021</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29</w:t>
            </w:r>
            <w:r>
              <w:rPr>
                <w:rFonts w:hint="eastAsia"/>
                <w:highlight w:val="none"/>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2021年10月8-9日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w:t>
            </w:r>
            <w:r>
              <w:rPr>
                <w:rFonts w:hint="eastAsia"/>
              </w:rPr>
              <w:t>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2021年10月21日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rPr>
          <w:highlight w:val="none"/>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AA5928"/>
    <w:rsid w:val="74C21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15"/>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20067</Words>
  <Characters>21121</Characters>
  <Lines>150</Lines>
  <Paragraphs>42</Paragraphs>
  <TotalTime>9</TotalTime>
  <ScaleCrop>false</ScaleCrop>
  <LinksUpToDate>false</LinksUpToDate>
  <CharactersWithSpaces>22204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2022-04-18T07:11:35Z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