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绵竹市佳伦包装印务有限公司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原材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瓦楞制作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粘合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预热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烘干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纵切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横切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堆码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印刷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装订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生产过程的风险：操作不当造成产品缺陷等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通过严格执行作业指导书、对操作人员培训等控制措施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粘合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预热、烘干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控制措施：过程确认、作业指导书、对操作人员培训等控制措施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GB/T6543-----2008标准等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产品通过过程检验，成品出厂检验等手段保证产品质量，依据：GB/T6543-----2008标准。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137160</wp:posOffset>
                  </wp:positionV>
                  <wp:extent cx="469900" cy="344805"/>
                  <wp:effectExtent l="0" t="0" r="0" b="10795"/>
                  <wp:wrapNone/>
                  <wp:docPr id="12" name="图片 2" descr="09475d67fa07517e3104073033d7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09475d67fa07517e3104073033d74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9567" t="49010" r="10632" b="45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172720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2022.4.25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E497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2022-04-25T03:00:59Z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