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江西金钱豹保险设备集团有限公司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QEO：</w:t>
            </w:r>
            <w:r>
              <w:rPr>
                <w:sz w:val="20"/>
              </w:rPr>
              <w:t>23.01.01;23.01.04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Q：</w:t>
            </w:r>
            <w:r>
              <w:rPr>
                <w:sz w:val="20"/>
              </w:rPr>
              <w:t>23.01.01;23.01.04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李双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剪板下料→冲压作业→折弯作业→焊接、打磨作业→静电粉末喷涂→组装、包装（零部件包装）→入库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需确认过程是：焊接过程、喷塑过程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控制措施：确认人员能力、设备状态，按照操作规程开展作业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焊接过程主要是控制电焊机电流电压焊丝直径，喷塑过程主要是控制色差、气压、喷嘴距离、温度、时间。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中华人民共和国环保法、固体废物污染环境防治法、大气污染环境防治法，中华人民共和国安全生产法、劳动法、职业病防治法，金属家具通用技术条件GB/T3325-2017</w:t>
            </w:r>
            <w:r>
              <w:rPr>
                <w:sz w:val="20"/>
              </w:rPr>
              <w:t xml:space="preserve"> 、</w:t>
            </w:r>
            <w:r>
              <w:rPr>
                <w:rFonts w:hint="eastAsia"/>
                <w:sz w:val="20"/>
              </w:rPr>
              <w:t>钢制书柜、资料柜通用技术条件</w:t>
            </w:r>
            <w:r>
              <w:rPr>
                <w:sz w:val="20"/>
              </w:rPr>
              <w:t>GB/T 13668-2015等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、性能、尺寸参数等，无型式试验要求。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67945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121920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F5C61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2022-04-15T03:13:11Z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