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rPr>
          <w:rFonts w:hint="eastAsia"/>
        </w:rPr>
        <w:drawing>
          <wp:anchor distT="0" distB="0" distL="114300" distR="114300" simplePos="0" relativeHeight="251659264" behindDoc="0" locked="0" layoutInCell="1" allowOverlap="1">
            <wp:simplePos x="0" y="0"/>
            <wp:positionH relativeFrom="column">
              <wp:posOffset>1898650</wp:posOffset>
            </wp:positionH>
            <wp:positionV relativeFrom="paragraph">
              <wp:posOffset>17780</wp:posOffset>
            </wp:positionV>
            <wp:extent cx="1590675" cy="1590675"/>
            <wp:effectExtent l="0" t="0" r="9525" b="9525"/>
            <wp:wrapNone/>
            <wp:docPr id="5" name="图片 3" descr="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新LOGO"/>
                    <pic:cNvPicPr>
                      <a:picLocks noChangeAspect="1"/>
                    </pic:cNvPicPr>
                  </pic:nvPicPr>
                  <pic:blipFill>
                    <a:blip r:embed="rId5"/>
                    <a:stretch>
                      <a:fillRect/>
                    </a:stretch>
                  </pic:blipFill>
                  <pic:spPr>
                    <a:xfrm>
                      <a:off x="0" y="0"/>
                      <a:ext cx="1590675" cy="1590675"/>
                    </a:xfrm>
                    <a:prstGeom prst="rect">
                      <a:avLst/>
                    </a:prstGeom>
                    <a:noFill/>
                    <a:ln>
                      <a:noFill/>
                    </a:ln>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ind w:firstLine="960" w:firstLineChars="300"/>
        <w:jc w:val="left"/>
        <w:rPr>
          <w:rFonts w:hint="eastAsia" w:ascii="宋体" w:hAnsi="宋体" w:eastAsiaTheme="minorEastAsia"/>
          <w:b w:val="0"/>
          <w:bCs w:val="0"/>
          <w:sz w:val="24"/>
          <w:szCs w:val="24"/>
          <w:u w:val="single"/>
          <w:lang w:eastAsia="zh-CN"/>
        </w:rPr>
      </w:pPr>
      <w:r>
        <w:rPr>
          <w:rFonts w:hint="eastAsia" w:ascii="宋体" w:hAnsi="宋体"/>
          <w:sz w:val="32"/>
        </w:rPr>
        <w:t>认 证 企 业</w:t>
      </w:r>
      <w:r>
        <w:rPr>
          <w:rFonts w:hint="eastAsia" w:ascii="MS PGothic" w:hAnsi="MS PGothic"/>
          <w:sz w:val="32"/>
        </w:rPr>
        <w:t>：</w:t>
      </w:r>
      <w:r>
        <w:rPr>
          <w:rFonts w:hint="eastAsia" w:ascii="宋体" w:hAnsi="宋体"/>
          <w:b w:val="0"/>
          <w:bCs w:val="0"/>
          <w:sz w:val="24"/>
          <w:szCs w:val="24"/>
          <w:u w:val="single"/>
          <w:lang w:eastAsia="zh-CN"/>
        </w:rPr>
        <w:t>淄博海源电子科技有限公司</w:t>
      </w:r>
    </w:p>
    <w:p>
      <w:pPr>
        <w:spacing w:line="360" w:lineRule="auto"/>
        <w:ind w:firstLine="960" w:firstLineChars="200"/>
        <w:jc w:val="left"/>
        <w:rPr>
          <w:rFonts w:hint="eastAsia" w:ascii="宋体" w:hAnsi="宋体" w:eastAsiaTheme="minorEastAsia"/>
          <w:spacing w:val="32"/>
          <w:sz w:val="32"/>
          <w:u w:val="single"/>
          <w:lang w:val="en-US" w:eastAsia="zh-CN"/>
        </w:rPr>
      </w:pPr>
      <w:r>
        <w:rPr>
          <w:rFonts w:hint="eastAsia" w:ascii="宋体" w:hAnsi="宋体"/>
          <w:spacing w:val="80"/>
          <w:sz w:val="32"/>
        </w:rPr>
        <w:t>编   号</w:t>
      </w:r>
      <w:r>
        <w:rPr>
          <w:rFonts w:hint="eastAsia" w:ascii="宋体" w:hAnsi="宋体"/>
          <w:sz w:val="32"/>
        </w:rPr>
        <w:t>：</w:t>
      </w:r>
      <w:bookmarkStart w:id="1" w:name="合同编号"/>
      <w:r>
        <w:rPr>
          <w:rFonts w:hint="eastAsia" w:ascii="宋体" w:hAnsi="宋体"/>
          <w:sz w:val="32"/>
          <w:u w:val="single"/>
          <w:lang w:val="en-US" w:eastAsia="zh-CN"/>
        </w:rPr>
        <w:t>0281</w:t>
      </w:r>
      <w:r>
        <w:rPr>
          <w:rFonts w:hint="eastAsia" w:ascii="宋体" w:hAnsi="宋体"/>
          <w:sz w:val="32"/>
          <w:u w:val="single"/>
        </w:rPr>
        <w:t>-2</w:t>
      </w:r>
      <w:r>
        <w:rPr>
          <w:rFonts w:hint="eastAsia" w:ascii="宋体" w:hAnsi="宋体"/>
          <w:sz w:val="32"/>
          <w:u w:val="single"/>
          <w:lang w:val="en-US" w:eastAsia="zh-CN"/>
        </w:rPr>
        <w:t>021</w:t>
      </w:r>
      <w:r>
        <w:rPr>
          <w:rFonts w:hint="eastAsia" w:ascii="宋体" w:hAnsi="宋体"/>
          <w:sz w:val="32"/>
          <w:u w:val="single"/>
        </w:rPr>
        <w:t>-202</w:t>
      </w:r>
      <w:bookmarkEnd w:id="1"/>
      <w:r>
        <w:rPr>
          <w:rFonts w:hint="eastAsia" w:ascii="宋体" w:hAnsi="宋体"/>
          <w:sz w:val="32"/>
          <w:u w:val="single"/>
          <w:lang w:val="en-US" w:eastAsia="zh-CN"/>
        </w:rPr>
        <w:t>2</w:t>
      </w:r>
    </w:p>
    <w:p>
      <w:pPr>
        <w:spacing w:line="360" w:lineRule="auto"/>
        <w:ind w:firstLine="960" w:firstLineChars="200"/>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hint="eastAsia" w:ascii="Times New Roman" w:hAnsi="Times New Roman" w:eastAsia="宋体" w:cs="Times New Roman"/>
          <w:bCs/>
          <w:kern w:val="0"/>
          <w:sz w:val="18"/>
          <w:szCs w:val="18"/>
          <w:lang w:val="en-US" w:eastAsia="zh-CN"/>
        </w:rPr>
      </w:pPr>
      <w:r>
        <w:rPr>
          <w:rFonts w:ascii="Times New Roman" w:hAnsi="Times New Roman" w:eastAsia="宋体" w:cs="Times New Roman"/>
          <w:bCs/>
          <w:kern w:val="0"/>
          <w:sz w:val="18"/>
          <w:szCs w:val="18"/>
        </w:rPr>
        <w:t>编号：</w:t>
      </w:r>
      <w:bookmarkStart w:id="2" w:name="合同编号Add"/>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281</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21</w:t>
      </w:r>
      <w:r>
        <w:rPr>
          <w:rFonts w:ascii="Times New Roman" w:hAnsi="Times New Roman" w:eastAsia="宋体" w:cs="Times New Roman"/>
          <w:bCs/>
          <w:kern w:val="0"/>
          <w:sz w:val="18"/>
          <w:szCs w:val="18"/>
          <w:u w:val="single"/>
        </w:rPr>
        <w:t>-202</w:t>
      </w:r>
      <w:bookmarkEnd w:id="2"/>
      <w:r>
        <w:rPr>
          <w:rFonts w:hint="eastAsia" w:ascii="Times New Roman" w:hAnsi="Times New Roman" w:eastAsia="宋体" w:cs="Times New Roman"/>
          <w:bCs/>
          <w:kern w:val="0"/>
          <w:sz w:val="18"/>
          <w:szCs w:val="18"/>
          <w:u w:val="single"/>
          <w:lang w:val="en-US" w:eastAsia="zh-CN"/>
        </w:rPr>
        <w:t>2</w:t>
      </w:r>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4020"/>
        <w:gridCol w:w="1650"/>
        <w:gridCol w:w="2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5"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 w:val="21"/>
                <w:szCs w:val="21"/>
              </w:rPr>
            </w:pPr>
            <w:r>
              <w:rPr>
                <w:rFonts w:hint="eastAsia" w:ascii="宋体" w:hAnsi="宋体" w:cs="宋体"/>
                <w:bCs/>
                <w:kern w:val="0"/>
                <w:szCs w:val="21"/>
              </w:rPr>
              <w:t>企业</w:t>
            </w:r>
            <w:r>
              <w:rPr>
                <w:rFonts w:hint="eastAsia" w:ascii="宋体" w:hAnsi="宋体" w:cs="宋体"/>
                <w:kern w:val="0"/>
                <w:szCs w:val="21"/>
              </w:rPr>
              <w:t>名称</w:t>
            </w:r>
          </w:p>
        </w:tc>
        <w:tc>
          <w:tcPr>
            <w:tcW w:w="4020" w:type="dxa"/>
            <w:vAlign w:val="top"/>
          </w:tcPr>
          <w:p>
            <w:pPr>
              <w:tabs>
                <w:tab w:val="left" w:pos="880"/>
              </w:tabs>
              <w:autoSpaceDE w:val="0"/>
              <w:autoSpaceDN w:val="0"/>
              <w:adjustRightInd w:val="0"/>
              <w:spacing w:before="35" w:line="276" w:lineRule="auto"/>
              <w:ind w:right="161" w:rightChars="0"/>
              <w:rPr>
                <w:rFonts w:hint="eastAsia" w:cs="宋体" w:asciiTheme="minorEastAsia" w:hAnsiTheme="minorEastAsia" w:eastAsiaTheme="minorEastAsia"/>
                <w:kern w:val="0"/>
                <w:sz w:val="21"/>
                <w:szCs w:val="21"/>
                <w:lang w:eastAsia="zh-CN"/>
              </w:rPr>
            </w:pPr>
            <w:r>
              <w:rPr>
                <w:rFonts w:hint="eastAsia" w:eastAsia="宋体"/>
                <w:b/>
                <w:color w:val="000000"/>
                <w:szCs w:val="21"/>
                <w:lang w:eastAsia="zh-CN"/>
              </w:rPr>
              <w:t>淄博海源电子科技有限公司</w:t>
            </w:r>
          </w:p>
        </w:tc>
        <w:tc>
          <w:tcPr>
            <w:tcW w:w="1650"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 w:val="21"/>
                <w:szCs w:val="21"/>
              </w:rPr>
            </w:pPr>
            <w:r>
              <w:rPr>
                <w:rFonts w:hint="eastAsia" w:ascii="宋体" w:hAnsi="宋体" w:cs="宋体"/>
                <w:kern w:val="0"/>
                <w:szCs w:val="21"/>
              </w:rPr>
              <w:t>企业联系人</w:t>
            </w:r>
          </w:p>
        </w:tc>
        <w:tc>
          <w:tcPr>
            <w:tcW w:w="2339" w:type="dxa"/>
            <w:vAlign w:val="top"/>
          </w:tcPr>
          <w:p>
            <w:pPr>
              <w:tabs>
                <w:tab w:val="left" w:pos="880"/>
              </w:tabs>
              <w:autoSpaceDE w:val="0"/>
              <w:autoSpaceDN w:val="0"/>
              <w:adjustRightInd w:val="0"/>
              <w:spacing w:before="35" w:line="360" w:lineRule="auto"/>
              <w:ind w:right="161" w:rightChars="0" w:firstLine="210" w:firstLineChars="100"/>
              <w:rPr>
                <w:rFonts w:hint="default" w:cs="宋体" w:asciiTheme="minorEastAsia" w:hAnsiTheme="minorEastAsia" w:eastAsiaTheme="minorEastAsia"/>
                <w:kern w:val="0"/>
                <w:sz w:val="21"/>
                <w:szCs w:val="21"/>
                <w:lang w:val="en-US" w:eastAsia="zh-CN"/>
              </w:rPr>
            </w:pPr>
            <w:bookmarkStart w:id="3" w:name="联系人"/>
            <w:r>
              <w:rPr>
                <w:color w:val="000000"/>
                <w:szCs w:val="21"/>
              </w:rPr>
              <w:t>宁艳玲</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65"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 w:val="21"/>
                <w:szCs w:val="21"/>
                <w:highlight w:val="none"/>
              </w:rPr>
            </w:pPr>
            <w:r>
              <w:rPr>
                <w:rFonts w:hint="eastAsia" w:ascii="宋体" w:hAnsi="宋体" w:cs="宋体"/>
                <w:kern w:val="0"/>
                <w:szCs w:val="21"/>
              </w:rPr>
              <w:t>认证证书编号</w:t>
            </w:r>
          </w:p>
        </w:tc>
        <w:tc>
          <w:tcPr>
            <w:tcW w:w="4020" w:type="dxa"/>
            <w:vAlign w:val="top"/>
          </w:tcPr>
          <w:p>
            <w:pPr>
              <w:jc w:val="center"/>
              <w:rPr>
                <w:rFonts w:hint="default" w:asciiTheme="minorEastAsia" w:hAnsiTheme="minorEastAsia" w:eastAsiaTheme="minorEastAsia"/>
                <w:sz w:val="21"/>
                <w:szCs w:val="21"/>
                <w:highlight w:val="none"/>
                <w:lang w:val="en-US" w:eastAsia="zh-CN"/>
              </w:rPr>
            </w:pPr>
            <w:r>
              <w:rPr>
                <w:rFonts w:ascii="宋体" w:hAnsi="宋体"/>
              </w:rPr>
              <w:t>ISC</w:t>
            </w:r>
            <w:r>
              <w:rPr>
                <w:rFonts w:hint="eastAsia" w:ascii="宋体" w:hAnsi="宋体"/>
                <w:lang w:val="en-US" w:eastAsia="zh-CN"/>
              </w:rPr>
              <w:t>-</w:t>
            </w:r>
            <w:r>
              <w:rPr>
                <w:rFonts w:ascii="宋体" w:hAnsi="宋体"/>
              </w:rPr>
              <w:t>20</w:t>
            </w:r>
            <w:r>
              <w:rPr>
                <w:rFonts w:hint="eastAsia" w:ascii="宋体" w:hAnsi="宋体"/>
                <w:lang w:val="en-US" w:eastAsia="zh-CN"/>
              </w:rPr>
              <w:t>20</w:t>
            </w:r>
            <w:r>
              <w:rPr>
                <w:rFonts w:ascii="宋体" w:hAnsi="宋体"/>
              </w:rPr>
              <w:t>-</w:t>
            </w:r>
            <w:r>
              <w:rPr>
                <w:rFonts w:hint="eastAsia" w:ascii="宋体" w:hAnsi="宋体"/>
                <w:lang w:val="en-US" w:eastAsia="zh-CN"/>
              </w:rPr>
              <w:t>0722</w:t>
            </w:r>
          </w:p>
        </w:tc>
        <w:tc>
          <w:tcPr>
            <w:tcW w:w="1650" w:type="dxa"/>
            <w:vAlign w:val="top"/>
          </w:tcPr>
          <w:p>
            <w:pPr>
              <w:rPr>
                <w:rFonts w:cs="宋体" w:asciiTheme="minorEastAsia" w:hAnsiTheme="minorEastAsia"/>
                <w:kern w:val="0"/>
                <w:sz w:val="21"/>
                <w:szCs w:val="21"/>
                <w:highlight w:val="none"/>
              </w:rPr>
            </w:pPr>
            <w:r>
              <w:rPr>
                <w:rFonts w:hint="eastAsia" w:ascii="宋体" w:hAnsi="宋体"/>
              </w:rPr>
              <w:t>证书有效期</w:t>
            </w:r>
          </w:p>
        </w:tc>
        <w:tc>
          <w:tcPr>
            <w:tcW w:w="2339" w:type="dxa"/>
            <w:vAlign w:val="top"/>
          </w:tcPr>
          <w:p>
            <w:pPr>
              <w:rPr>
                <w:rFonts w:hint="default" w:cs="宋体" w:asciiTheme="minorEastAsia" w:hAnsiTheme="minorEastAsia" w:eastAsiaTheme="minorEastAsia"/>
                <w:kern w:val="0"/>
                <w:sz w:val="21"/>
                <w:szCs w:val="21"/>
                <w:highlight w:val="none"/>
                <w:lang w:val="en-US" w:eastAsia="zh-CN"/>
              </w:rPr>
            </w:pPr>
            <w:r>
              <w:rPr>
                <w:rFonts w:ascii="宋体" w:hAnsi="宋体"/>
              </w:rPr>
              <w:t>202</w:t>
            </w:r>
            <w:r>
              <w:rPr>
                <w:rFonts w:hint="eastAsia" w:ascii="宋体" w:hAnsi="宋体"/>
                <w:lang w:val="en-US" w:eastAsia="zh-CN"/>
              </w:rPr>
              <w:t>6</w:t>
            </w:r>
            <w:r>
              <w:rPr>
                <w:rFonts w:hint="eastAsia" w:ascii="宋体" w:hAnsi="宋体"/>
              </w:rPr>
              <w:t>年</w:t>
            </w:r>
            <w:r>
              <w:rPr>
                <w:rFonts w:hint="eastAsia" w:ascii="宋体" w:hAnsi="宋体"/>
                <w:lang w:val="en-US" w:eastAsia="zh-CN"/>
              </w:rPr>
              <w:t>04</w:t>
            </w:r>
            <w:r>
              <w:rPr>
                <w:rFonts w:hint="eastAsia" w:ascii="宋体" w:hAnsi="宋体"/>
                <w:highlight w:val="none"/>
              </w:rPr>
              <w:t>月</w:t>
            </w:r>
            <w:r>
              <w:rPr>
                <w:rFonts w:ascii="宋体" w:hAnsi="宋体"/>
                <w:highlight w:val="none"/>
              </w:rPr>
              <w:t xml:space="preserve"> </w:t>
            </w:r>
            <w:r>
              <w:rPr>
                <w:rFonts w:hint="eastAsia" w:ascii="宋体" w:hAnsi="宋体"/>
                <w:highlight w:val="none"/>
                <w:lang w:val="en-US" w:eastAsia="zh-CN"/>
              </w:rPr>
              <w:t>19</w:t>
            </w:r>
            <w:r>
              <w:rPr>
                <w:rFonts w:hint="eastAsia" w:ascii="宋体" w:hAnsi="宋体"/>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5"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 w:val="21"/>
                <w:szCs w:val="21"/>
              </w:rPr>
            </w:pPr>
            <w:r>
              <w:rPr>
                <w:rFonts w:hint="eastAsia" w:ascii="宋体" w:hAnsi="宋体" w:cs="宋体"/>
                <w:kern w:val="0"/>
                <w:szCs w:val="21"/>
              </w:rPr>
              <w:t>监督审核次数</w:t>
            </w:r>
          </w:p>
        </w:tc>
        <w:tc>
          <w:tcPr>
            <w:tcW w:w="4020" w:type="dxa"/>
            <w:vAlign w:val="top"/>
          </w:tcPr>
          <w:p>
            <w:pPr>
              <w:tabs>
                <w:tab w:val="left" w:pos="747"/>
                <w:tab w:val="left" w:pos="880"/>
              </w:tabs>
              <w:autoSpaceDE w:val="0"/>
              <w:autoSpaceDN w:val="0"/>
              <w:adjustRightInd w:val="0"/>
              <w:spacing w:before="35" w:line="276" w:lineRule="auto"/>
              <w:ind w:right="161" w:rightChars="0" w:firstLine="1155" w:firstLineChars="550"/>
              <w:jc w:val="both"/>
              <w:rPr>
                <w:sz w:val="21"/>
                <w:szCs w:val="21"/>
              </w:rPr>
            </w:pPr>
            <w:r>
              <w:rPr>
                <w:rFonts w:hint="eastAsia" w:ascii="宋体" w:cs="宋体"/>
                <w:kern w:val="0"/>
                <w:szCs w:val="21"/>
                <w:lang w:eastAsia="zh-CN"/>
              </w:rPr>
              <w:tab/>
            </w:r>
            <w:r>
              <w:rPr>
                <w:rFonts w:hint="eastAsia" w:ascii="宋体" w:cs="宋体"/>
                <w:kern w:val="0"/>
                <w:szCs w:val="21"/>
                <w:lang w:val="en-US" w:eastAsia="zh-CN"/>
              </w:rPr>
              <w:t xml:space="preserve"> </w:t>
            </w:r>
            <w:r>
              <w:rPr>
                <w:rFonts w:hint="eastAsia" w:ascii="宋体" w:cs="宋体"/>
                <w:kern w:val="0"/>
                <w:szCs w:val="21"/>
                <w:lang w:eastAsia="zh-CN"/>
              </w:rPr>
              <w:tab/>
            </w:r>
            <w:r>
              <w:rPr>
                <w:rFonts w:hint="eastAsia" w:ascii="宋体" w:cs="宋体"/>
                <w:kern w:val="0"/>
                <w:szCs w:val="21"/>
              </w:rPr>
              <w:t>第</w:t>
            </w:r>
            <w:r>
              <w:rPr>
                <w:rFonts w:hint="eastAsia" w:ascii="宋体" w:cs="宋体"/>
                <w:kern w:val="0"/>
                <w:szCs w:val="21"/>
                <w:lang w:eastAsia="zh-CN"/>
              </w:rPr>
              <w:t>一</w:t>
            </w:r>
            <w:r>
              <w:rPr>
                <w:rFonts w:hint="eastAsia" w:ascii="宋体" w:cs="宋体"/>
                <w:kern w:val="0"/>
                <w:szCs w:val="21"/>
              </w:rPr>
              <w:t>次</w:t>
            </w:r>
          </w:p>
        </w:tc>
        <w:tc>
          <w:tcPr>
            <w:tcW w:w="1650"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 w:val="21"/>
                <w:szCs w:val="21"/>
              </w:rPr>
            </w:pPr>
            <w:r>
              <w:rPr>
                <w:rFonts w:hint="eastAsia" w:ascii="宋体" w:hAnsi="宋体" w:cs="宋体"/>
                <w:kern w:val="0"/>
                <w:szCs w:val="21"/>
              </w:rPr>
              <w:t>本次监督</w:t>
            </w:r>
            <w:r>
              <w:rPr>
                <w:rFonts w:hint="eastAsia" w:ascii="宋体" w:hAnsi="宋体" w:cs="宋体"/>
                <w:color w:val="333333"/>
                <w:kern w:val="0"/>
                <w:szCs w:val="21"/>
              </w:rPr>
              <w:t>时间</w:t>
            </w:r>
          </w:p>
        </w:tc>
        <w:tc>
          <w:tcPr>
            <w:tcW w:w="2339" w:type="dxa"/>
            <w:vAlign w:val="top"/>
          </w:tcPr>
          <w:p>
            <w:pPr>
              <w:tabs>
                <w:tab w:val="left" w:pos="880"/>
              </w:tabs>
              <w:autoSpaceDE w:val="0"/>
              <w:autoSpaceDN w:val="0"/>
              <w:adjustRightInd w:val="0"/>
              <w:spacing w:before="35" w:line="360" w:lineRule="auto"/>
              <w:ind w:right="161" w:rightChars="0"/>
              <w:rPr>
                <w:rFonts w:hint="default" w:cs="宋体" w:asciiTheme="minorEastAsia" w:hAnsiTheme="minorEastAsia" w:eastAsiaTheme="minorEastAsia"/>
                <w:kern w:val="0"/>
                <w:sz w:val="21"/>
                <w:szCs w:val="21"/>
                <w:lang w:val="en-US" w:eastAsia="zh-CN"/>
              </w:rPr>
            </w:pPr>
            <w:r>
              <w:rPr>
                <w:rFonts w:ascii="宋体" w:hAnsi="宋体" w:cs="宋体"/>
                <w:kern w:val="0"/>
                <w:szCs w:val="21"/>
              </w:rPr>
              <w:t>20</w:t>
            </w:r>
            <w:r>
              <w:rPr>
                <w:rFonts w:hint="eastAsia" w:ascii="宋体" w:hAnsi="宋体" w:cs="宋体"/>
                <w:kern w:val="0"/>
                <w:szCs w:val="21"/>
                <w:lang w:val="en-US" w:eastAsia="zh-CN"/>
              </w:rPr>
              <w:t>22</w:t>
            </w:r>
            <w:r>
              <w:rPr>
                <w:rFonts w:hint="eastAsia" w:ascii="宋体" w:hAnsi="宋体" w:cs="宋体"/>
                <w:kern w:val="0"/>
                <w:szCs w:val="21"/>
              </w:rPr>
              <w:t>年</w:t>
            </w:r>
            <w:r>
              <w:rPr>
                <w:rFonts w:hint="eastAsia" w:ascii="宋体" w:hAnsi="宋体" w:cs="宋体"/>
                <w:kern w:val="0"/>
                <w:szCs w:val="21"/>
                <w:lang w:val="en-US" w:eastAsia="zh-CN"/>
              </w:rPr>
              <w:t>4</w:t>
            </w:r>
            <w:r>
              <w:rPr>
                <w:rFonts w:hint="eastAsia" w:ascii="宋体" w:hAnsi="宋体" w:cs="宋体"/>
                <w:kern w:val="0"/>
                <w:szCs w:val="21"/>
              </w:rPr>
              <w:t>月</w:t>
            </w:r>
            <w:r>
              <w:rPr>
                <w:rFonts w:hint="eastAsia" w:ascii="宋体" w:hAnsi="宋体" w:cs="宋体"/>
                <w:kern w:val="0"/>
                <w:szCs w:val="21"/>
                <w:lang w:val="en-US" w:eastAsia="zh-CN"/>
              </w:rPr>
              <w:t>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665" w:type="dxa"/>
            <w:vAlign w:val="top"/>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rightChars="0"/>
              <w:rPr>
                <w:rFonts w:cs="宋体" w:asciiTheme="minorEastAsia" w:hAnsiTheme="minorEastAsia"/>
                <w:kern w:val="0"/>
                <w:sz w:val="21"/>
                <w:szCs w:val="21"/>
              </w:rPr>
            </w:pPr>
            <w:r>
              <w:rPr>
                <w:rFonts w:hint="eastAsia" w:cs="宋体" w:asciiTheme="minorEastAsia" w:hAnsiTheme="minorEastAsia"/>
                <w:kern w:val="0"/>
                <w:szCs w:val="21"/>
              </w:rPr>
              <w:t>姓名及确认号</w:t>
            </w:r>
          </w:p>
        </w:tc>
        <w:tc>
          <w:tcPr>
            <w:tcW w:w="4020" w:type="dxa"/>
            <w:vAlign w:val="center"/>
          </w:tcPr>
          <w:p>
            <w:pPr>
              <w:spacing w:line="360" w:lineRule="exact"/>
              <w:jc w:val="both"/>
              <w:rPr>
                <w:rFonts w:hint="eastAsia" w:ascii="宋体" w:hAnsi="宋体" w:eastAsia="宋体" w:cs="宋体"/>
                <w:sz w:val="21"/>
                <w:szCs w:val="21"/>
              </w:rPr>
            </w:pPr>
            <w:r>
              <w:rPr>
                <w:rFonts w:hint="eastAsia" w:ascii="宋体" w:hAnsi="宋体" w:eastAsia="宋体" w:cs="宋体"/>
                <w:sz w:val="21"/>
                <w:szCs w:val="21"/>
                <w:lang w:eastAsia="zh-CN"/>
              </w:rPr>
              <w:t>姜</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丽</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2021-M1MMS-2274284</w:t>
            </w:r>
          </w:p>
          <w:p>
            <w:pPr>
              <w:spacing w:line="360" w:lineRule="exact"/>
              <w:jc w:val="both"/>
              <w:rPr>
                <w:rFonts w:cs="宋体" w:asciiTheme="minorEastAsia" w:hAnsiTheme="minorEastAsia"/>
                <w:kern w:val="0"/>
                <w:sz w:val="21"/>
                <w:szCs w:val="21"/>
              </w:rPr>
            </w:pPr>
            <w:r>
              <w:rPr>
                <w:rFonts w:hint="eastAsia" w:ascii="宋体" w:hAnsi="宋体" w:eastAsia="宋体" w:cs="宋体"/>
                <w:sz w:val="21"/>
                <w:szCs w:val="21"/>
                <w:lang w:eastAsia="zh-CN"/>
              </w:rPr>
              <w:t>韩永师2021-M1MMS-1068643</w:t>
            </w:r>
          </w:p>
        </w:tc>
        <w:tc>
          <w:tcPr>
            <w:tcW w:w="1650" w:type="dxa"/>
            <w:vAlign w:val="center"/>
          </w:tcPr>
          <w:p>
            <w:pPr>
              <w:spacing w:line="240" w:lineRule="exact"/>
              <w:jc w:val="center"/>
              <w:rPr>
                <w:rFonts w:cs="宋体" w:asciiTheme="minorEastAsia" w:hAnsiTheme="minorEastAsia"/>
                <w:kern w:val="0"/>
                <w:sz w:val="21"/>
                <w:szCs w:val="21"/>
              </w:rPr>
            </w:pPr>
            <w:r>
              <w:rPr>
                <w:rFonts w:cs="宋体" w:asciiTheme="minorEastAsia" w:hAnsiTheme="minorEastAsia"/>
                <w:bCs/>
                <w:kern w:val="0"/>
                <w:szCs w:val="21"/>
              </w:rPr>
              <w:t>监督审核涉及的区域或部门</w:t>
            </w:r>
          </w:p>
        </w:tc>
        <w:tc>
          <w:tcPr>
            <w:tcW w:w="2339" w:type="dxa"/>
            <w:vAlign w:val="top"/>
          </w:tcPr>
          <w:p>
            <w:pPr>
              <w:spacing w:line="360" w:lineRule="auto"/>
              <w:rPr>
                <w:rFonts w:ascii="宋体" w:hAnsi="宋体" w:eastAsia="宋体" w:cs="Times New Roman"/>
                <w:bCs/>
                <w:sz w:val="21"/>
                <w:szCs w:val="21"/>
              </w:rPr>
            </w:pPr>
            <w:r>
              <w:rPr>
                <w:rFonts w:hint="eastAsia"/>
                <w:bCs/>
                <w:sz w:val="21"/>
                <w:szCs w:val="21"/>
                <w:lang w:eastAsia="zh-CN"/>
              </w:rPr>
              <w:t>生产部（质检）、</w:t>
            </w:r>
            <w:r>
              <w:rPr>
                <w:rFonts w:hint="eastAsia" w:eastAsia="新宋体"/>
                <w:sz w:val="21"/>
                <w:szCs w:val="21"/>
                <w:lang w:eastAsia="zh-CN"/>
              </w:rPr>
              <w:t>办公室（采购）、</w:t>
            </w:r>
            <w:r>
              <w:rPr>
                <w:rFonts w:hint="eastAsia"/>
                <w:bCs/>
                <w:sz w:val="21"/>
                <w:szCs w:val="21"/>
                <w:lang w:eastAsia="zh-CN"/>
              </w:rPr>
              <w:t>技术研发部、</w:t>
            </w:r>
            <w:r>
              <w:rPr>
                <w:rFonts w:hint="eastAsia" w:eastAsia="新宋体"/>
                <w:szCs w:val="21"/>
                <w:lang w:eastAsia="zh-CN"/>
              </w:rPr>
              <w:t>销售部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ascii="宋体" w:cs="宋体"/>
          <w:bCs/>
          <w:kern w:val="0"/>
          <w:szCs w:val="21"/>
        </w:rPr>
      </w:pPr>
      <w:r>
        <w:rPr>
          <w:rFonts w:ascii="宋体" w:hAnsi="宋体" w:cs="宋体"/>
          <w:bCs/>
          <w:kern w:val="0"/>
          <w:szCs w:val="21"/>
        </w:rPr>
        <w:t>1.</w:t>
      </w:r>
      <w:r>
        <w:rPr>
          <w:rFonts w:hint="eastAsia" w:ascii="宋体" w:hAnsi="宋体" w:cs="宋体"/>
          <w:bCs/>
          <w:kern w:val="0"/>
          <w:szCs w:val="21"/>
        </w:rPr>
        <w:t>一年内违反法律法规或重大事故的情况：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一年内，公司日常运行中生产、经营、安全、销售及管理方面，比去年都有</w:t>
      </w:r>
      <w:r>
        <w:rPr>
          <w:rFonts w:hint="eastAsia" w:ascii="宋体" w:hAnsi="宋体" w:cs="宋体"/>
          <w:bCs/>
          <w:kern w:val="0"/>
          <w:szCs w:val="21"/>
          <w:lang w:val="en-US" w:eastAsia="zh-CN"/>
        </w:rPr>
        <w:t>很大的</w:t>
      </w:r>
      <w:r>
        <w:rPr>
          <w:rFonts w:hint="eastAsia" w:ascii="宋体" w:hAnsi="宋体" w:cs="宋体"/>
          <w:bCs/>
          <w:kern w:val="0"/>
          <w:szCs w:val="21"/>
        </w:rPr>
        <w:t>提升，未见违反法律、法规问题或重大质量事故发生。</w:t>
      </w:r>
    </w:p>
    <w:p>
      <w:pPr>
        <w:widowControl/>
        <w:spacing w:line="360" w:lineRule="auto"/>
        <w:rPr>
          <w:rFonts w:ascii="宋体" w:cs="宋体"/>
          <w:bCs/>
          <w:kern w:val="0"/>
          <w:szCs w:val="21"/>
        </w:rPr>
      </w:pPr>
      <w:r>
        <w:rPr>
          <w:rFonts w:ascii="宋体" w:hAnsi="宋体" w:cs="宋体"/>
          <w:bCs/>
          <w:kern w:val="0"/>
          <w:szCs w:val="21"/>
        </w:rPr>
        <w:t>2.</w:t>
      </w:r>
      <w:r>
        <w:rPr>
          <w:rFonts w:hint="eastAsia" w:ascii="宋体" w:hAnsi="宋体" w:cs="宋体"/>
          <w:bCs/>
          <w:kern w:val="0"/>
          <w:szCs w:val="21"/>
        </w:rPr>
        <w:t>监督审核过程简述：</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为有效评价公司测量管理体系</w:t>
      </w:r>
      <w:r>
        <w:rPr>
          <w:rFonts w:hint="eastAsia" w:ascii="宋体" w:hAnsi="宋体" w:cs="宋体"/>
          <w:bCs/>
          <w:kern w:val="0"/>
          <w:szCs w:val="21"/>
          <w:lang w:eastAsia="zh-CN"/>
        </w:rPr>
        <w:t>运行认证</w:t>
      </w:r>
      <w:r>
        <w:rPr>
          <w:rFonts w:hint="eastAsia" w:ascii="宋体" w:hAnsi="宋体" w:cs="宋体"/>
          <w:bCs/>
          <w:kern w:val="0"/>
          <w:szCs w:val="21"/>
        </w:rPr>
        <w:t>后一年以来</w:t>
      </w:r>
      <w:r>
        <w:rPr>
          <w:rFonts w:hint="eastAsia" w:ascii="宋体" w:hAnsi="宋体" w:cs="宋体"/>
          <w:bCs/>
          <w:kern w:val="0"/>
          <w:szCs w:val="21"/>
          <w:lang w:val="en-US" w:eastAsia="zh-CN"/>
        </w:rPr>
        <w:t>的</w:t>
      </w:r>
      <w:r>
        <w:rPr>
          <w:rFonts w:hint="eastAsia" w:ascii="宋体" w:hAnsi="宋体" w:cs="宋体"/>
          <w:bCs/>
          <w:kern w:val="0"/>
          <w:szCs w:val="21"/>
        </w:rPr>
        <w:t>运行情况，在</w:t>
      </w:r>
      <w:r>
        <w:rPr>
          <w:rFonts w:hint="eastAsia" w:ascii="宋体" w:hAnsi="宋体"/>
          <w:szCs w:val="21"/>
          <w:lang w:eastAsia="zh-CN"/>
        </w:rPr>
        <w:t>淄博海源电子科技有限公司远程</w:t>
      </w:r>
      <w:r>
        <w:rPr>
          <w:rFonts w:hint="eastAsia" w:ascii="宋体" w:hAnsi="宋体" w:cs="宋体"/>
          <w:bCs/>
          <w:kern w:val="0"/>
          <w:szCs w:val="21"/>
        </w:rPr>
        <w:t>审核中，审核组抽样检查了涉及公司测量体系内的管理、生产、经营、质量和安全等方面的</w:t>
      </w:r>
      <w:r>
        <w:rPr>
          <w:rFonts w:hint="eastAsia" w:ascii="宋体" w:hAnsi="宋体" w:cs="宋体"/>
          <w:bCs/>
          <w:kern w:val="0"/>
          <w:szCs w:val="21"/>
          <w:lang w:val="en-US" w:eastAsia="zh-CN"/>
        </w:rPr>
        <w:t>4</w:t>
      </w:r>
      <w:r>
        <w:rPr>
          <w:rFonts w:hint="eastAsia" w:ascii="宋体" w:hAnsi="宋体" w:cs="宋体"/>
          <w:kern w:val="0"/>
          <w:szCs w:val="21"/>
        </w:rPr>
        <w:t>个</w:t>
      </w:r>
      <w:r>
        <w:rPr>
          <w:rFonts w:ascii="宋体" w:hAnsi="宋体" w:cs="宋体"/>
          <w:kern w:val="0"/>
          <w:szCs w:val="21"/>
        </w:rPr>
        <w:t>部门及</w:t>
      </w:r>
      <w:r>
        <w:rPr>
          <w:rFonts w:hint="eastAsia" w:ascii="宋体" w:hAnsi="宋体" w:cs="宋体"/>
          <w:kern w:val="0"/>
          <w:szCs w:val="21"/>
          <w:lang w:val="en-US" w:eastAsia="zh-CN"/>
        </w:rPr>
        <w:t>2作业区</w:t>
      </w:r>
      <w:r>
        <w:rPr>
          <w:rFonts w:hint="eastAsia" w:ascii="宋体" w:hAnsi="宋体" w:cs="宋体"/>
          <w:bCs/>
          <w:kern w:val="0"/>
          <w:szCs w:val="21"/>
        </w:rPr>
        <w:t>。重点核查环节有：原材料进厂检测、产品质量性能检验、出厂产品质量检测主要生产过程的测量控制、监视及测量设备量值溯源情况，同时，跟踪验证了该公司在获得测量管理体系认证后，对体系的运行监视、分析完善和持续改进等工作情况。公司测量管理体系正常有序运行，较好地满足了公司生产、安全和持续发展的需要。</w:t>
      </w:r>
    </w:p>
    <w:p>
      <w:pPr>
        <w:widowControl/>
        <w:spacing w:line="360" w:lineRule="auto"/>
        <w:rPr>
          <w:rFonts w:ascii="宋体" w:cs="宋体"/>
          <w:bCs/>
          <w:kern w:val="0"/>
          <w:szCs w:val="21"/>
        </w:rPr>
      </w:pPr>
      <w:r>
        <w:rPr>
          <w:rFonts w:ascii="宋体" w:hAnsi="宋体" w:cs="宋体"/>
          <w:bCs/>
          <w:kern w:val="0"/>
          <w:szCs w:val="21"/>
        </w:rPr>
        <w:t>3.</w:t>
      </w:r>
      <w:r>
        <w:rPr>
          <w:rFonts w:hint="eastAsia" w:ascii="宋体" w:hAnsi="宋体" w:cs="宋体"/>
          <w:bCs/>
          <w:kern w:val="0"/>
          <w:szCs w:val="21"/>
        </w:rPr>
        <w:t>内部审核和管理评审的情况：</w:t>
      </w:r>
    </w:p>
    <w:p>
      <w:pPr>
        <w:widowControl/>
        <w:spacing w:line="360" w:lineRule="auto"/>
        <w:ind w:firstLine="420" w:firstLineChars="200"/>
        <w:rPr>
          <w:rFonts w:hint="eastAsia" w:ascii="宋体" w:hAnsi="宋体" w:cs="宋体" w:eastAsiaTheme="minorEastAsia"/>
          <w:bCs/>
          <w:kern w:val="0"/>
          <w:szCs w:val="21"/>
          <w:lang w:eastAsia="zh-CN"/>
        </w:rPr>
      </w:pPr>
      <w:r>
        <w:rPr>
          <w:rFonts w:hint="eastAsia" w:ascii="宋体" w:hAnsi="宋体" w:cs="宋体"/>
          <w:bCs/>
          <w:kern w:val="0"/>
          <w:szCs w:val="21"/>
        </w:rPr>
        <w:t>3.1</w:t>
      </w:r>
      <w:r>
        <w:rPr>
          <w:rFonts w:ascii="Times New Roman" w:hAnsi="Times New Roman" w:cs="Times New Roman"/>
          <w:bCs/>
          <w:kern w:val="0"/>
          <w:szCs w:val="21"/>
          <w:highlight w:val="none"/>
        </w:rPr>
        <w:t>公司于</w:t>
      </w:r>
      <w:r>
        <w:rPr>
          <w:rFonts w:hint="eastAsia" w:ascii="Times New Roman" w:hAnsi="Times New Roman" w:cs="Times New Roman"/>
          <w:bCs/>
          <w:kern w:val="0"/>
          <w:szCs w:val="21"/>
          <w:highlight w:val="none"/>
          <w:lang w:val="en-US" w:eastAsia="zh-CN"/>
        </w:rPr>
        <w:t>2022</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3月23日</w:t>
      </w:r>
      <w:r>
        <w:rPr>
          <w:rFonts w:hint="eastAsia" w:ascii="Times New Roman" w:hAnsi="Times New Roman" w:cs="Times New Roman"/>
          <w:bCs/>
          <w:kern w:val="0"/>
          <w:szCs w:val="21"/>
          <w:highlight w:val="none"/>
          <w:lang w:eastAsia="zh-CN"/>
        </w:rPr>
        <w:t>，</w:t>
      </w:r>
      <w:r>
        <w:rPr>
          <w:rFonts w:ascii="Times New Roman" w:hAnsi="Times New Roman" w:cs="Times New Roman"/>
          <w:bCs/>
          <w:kern w:val="0"/>
          <w:szCs w:val="21"/>
          <w:highlight w:val="none"/>
        </w:rPr>
        <w:t>组织了</w:t>
      </w:r>
      <w:r>
        <w:rPr>
          <w:rFonts w:hint="eastAsia" w:ascii="宋体" w:hAnsi="宋体" w:cs="宋体"/>
          <w:bCs/>
          <w:kern w:val="0"/>
          <w:szCs w:val="21"/>
        </w:rPr>
        <w:t>公司的测量</w:t>
      </w:r>
      <w:r>
        <w:rPr>
          <w:rFonts w:hint="eastAsia" w:ascii="宋体" w:hAnsi="宋体" w:cs="宋体"/>
          <w:bCs/>
          <w:kern w:val="0"/>
          <w:szCs w:val="21"/>
          <w:lang w:val="en-US" w:eastAsia="zh-CN"/>
        </w:rPr>
        <w:t>管理</w:t>
      </w:r>
      <w:r>
        <w:rPr>
          <w:rFonts w:hint="eastAsia" w:ascii="宋体" w:hAnsi="宋体" w:cs="宋体"/>
          <w:bCs/>
          <w:kern w:val="0"/>
          <w:szCs w:val="21"/>
        </w:rPr>
        <w:t>体系内审</w:t>
      </w:r>
      <w:r>
        <w:rPr>
          <w:rFonts w:hint="eastAsia" w:ascii="宋体" w:hAnsi="宋体" w:cs="宋体"/>
          <w:bCs/>
          <w:kern w:val="0"/>
          <w:szCs w:val="21"/>
          <w:lang w:eastAsia="zh-CN"/>
        </w:rPr>
        <w:t>。办公室主任宁艳玲</w:t>
      </w:r>
      <w:r>
        <w:rPr>
          <w:rFonts w:hint="eastAsia" w:ascii="宋体" w:hAnsi="宋体" w:cs="宋体"/>
          <w:bCs/>
          <w:kern w:val="0"/>
          <w:szCs w:val="21"/>
          <w:highlight w:val="none"/>
          <w:lang w:eastAsia="zh-CN"/>
        </w:rPr>
        <w:t>任组长组织</w:t>
      </w:r>
      <w:r>
        <w:rPr>
          <w:rFonts w:hint="eastAsia" w:ascii="宋体" w:hAnsi="宋体" w:cs="宋体"/>
          <w:bCs/>
          <w:kern w:val="0"/>
          <w:szCs w:val="21"/>
          <w:highlight w:val="none"/>
        </w:rPr>
        <w:t>审核。</w:t>
      </w:r>
      <w:r>
        <w:rPr>
          <w:rFonts w:hint="eastAsia" w:ascii="宋体" w:hAnsi="宋体" w:cs="宋体"/>
          <w:bCs/>
          <w:kern w:val="0"/>
          <w:szCs w:val="21"/>
          <w:highlight w:val="none"/>
          <w:lang w:val="en-US" w:eastAsia="zh-CN"/>
        </w:rPr>
        <w:t>1个</w:t>
      </w:r>
      <w:r>
        <w:rPr>
          <w:rFonts w:hint="eastAsia" w:ascii="宋体" w:hAnsi="宋体" w:cs="宋体"/>
          <w:bCs/>
          <w:kern w:val="0"/>
          <w:szCs w:val="21"/>
          <w:highlight w:val="none"/>
        </w:rPr>
        <w:t>内审组对公司包括管理</w:t>
      </w:r>
      <w:r>
        <w:rPr>
          <w:rFonts w:hint="eastAsia" w:ascii="宋体" w:hAnsi="宋体" w:cs="宋体"/>
          <w:bCs/>
          <w:kern w:val="0"/>
          <w:szCs w:val="21"/>
        </w:rPr>
        <w:t>层在内的</w:t>
      </w:r>
      <w:r>
        <w:rPr>
          <w:rFonts w:hint="eastAsia" w:ascii="宋体" w:hAnsi="宋体" w:cs="宋体"/>
          <w:bCs/>
          <w:kern w:val="0"/>
          <w:szCs w:val="21"/>
          <w:lang w:val="en-US" w:eastAsia="zh-CN"/>
        </w:rPr>
        <w:t>4</w:t>
      </w:r>
      <w:r>
        <w:rPr>
          <w:rFonts w:hint="eastAsia" w:ascii="宋体" w:hAnsi="宋体" w:cs="宋体"/>
          <w:kern w:val="0"/>
          <w:szCs w:val="21"/>
        </w:rPr>
        <w:t>个</w:t>
      </w:r>
      <w:r>
        <w:rPr>
          <w:rFonts w:ascii="宋体" w:hAnsi="宋体" w:cs="宋体"/>
          <w:kern w:val="0"/>
          <w:szCs w:val="21"/>
        </w:rPr>
        <w:t>部门及</w:t>
      </w:r>
      <w:r>
        <w:rPr>
          <w:rFonts w:hint="eastAsia" w:ascii="宋体" w:hAnsi="宋体" w:cs="宋体"/>
          <w:kern w:val="0"/>
          <w:szCs w:val="21"/>
          <w:lang w:val="en-US" w:eastAsia="zh-CN"/>
        </w:rPr>
        <w:t>2个作业区</w:t>
      </w:r>
      <w:r>
        <w:rPr>
          <w:rFonts w:ascii="宋体" w:hAnsi="宋体" w:cs="宋体"/>
          <w:kern w:val="0"/>
          <w:szCs w:val="21"/>
        </w:rPr>
        <w:t>组</w:t>
      </w:r>
      <w:r>
        <w:rPr>
          <w:rFonts w:hint="eastAsia" w:ascii="宋体" w:hAnsi="宋体" w:cs="宋体"/>
          <w:bCs/>
          <w:kern w:val="0"/>
          <w:szCs w:val="21"/>
        </w:rPr>
        <w:t>进行了全要素的审核。内部审核发现</w:t>
      </w:r>
      <w:r>
        <w:rPr>
          <w:rFonts w:hint="eastAsia" w:ascii="宋体" w:hAnsi="宋体" w:cs="宋体"/>
          <w:bCs/>
          <w:kern w:val="0"/>
          <w:szCs w:val="21"/>
          <w:lang w:val="en-US" w:eastAsia="zh-CN"/>
        </w:rPr>
        <w:t>1个</w:t>
      </w:r>
      <w:r>
        <w:rPr>
          <w:rFonts w:hint="eastAsia" w:ascii="宋体" w:hAnsi="宋体" w:cs="宋体"/>
          <w:bCs/>
          <w:kern w:val="0"/>
          <w:szCs w:val="21"/>
        </w:rPr>
        <w:t>不符合项。制定了相关的预防纠正措施，并在规定时间内，完成整改工作，不符合项已关闭</w:t>
      </w:r>
    </w:p>
    <w:p>
      <w:pPr>
        <w:widowControl/>
        <w:spacing w:line="360" w:lineRule="auto"/>
        <w:rPr>
          <w:rFonts w:hint="eastAsia" w:ascii="宋体" w:hAnsi="宋体" w:cs="宋体"/>
          <w:bCs/>
          <w:kern w:val="0"/>
          <w:szCs w:val="21"/>
        </w:rPr>
      </w:pPr>
      <w:r>
        <w:rPr>
          <w:rFonts w:hint="eastAsia" w:ascii="宋体" w:hAnsi="宋体" w:cs="宋体"/>
          <w:bCs/>
          <w:kern w:val="0"/>
          <w:szCs w:val="21"/>
        </w:rPr>
        <w:t>3.2公司的测量体系管理评审：</w:t>
      </w:r>
    </w:p>
    <w:p>
      <w:pPr>
        <w:widowControl/>
        <w:spacing w:line="360" w:lineRule="auto"/>
        <w:ind w:firstLine="420" w:firstLineChars="200"/>
        <w:rPr>
          <w:rFonts w:ascii="宋体" w:cs="宋体"/>
          <w:bCs/>
          <w:kern w:val="0"/>
          <w:szCs w:val="21"/>
        </w:rPr>
      </w:pPr>
      <w:r>
        <w:rPr>
          <w:rFonts w:hint="eastAsia" w:ascii="宋体" w:hAnsi="宋体" w:cs="宋体"/>
          <w:bCs/>
          <w:kern w:val="0"/>
          <w:szCs w:val="21"/>
          <w:highlight w:val="none"/>
        </w:rPr>
        <w:t>公司于20</w:t>
      </w:r>
      <w:r>
        <w:rPr>
          <w:rFonts w:hint="eastAsia" w:ascii="宋体" w:hAnsi="宋体" w:cs="宋体"/>
          <w:bCs/>
          <w:kern w:val="0"/>
          <w:szCs w:val="21"/>
          <w:highlight w:val="none"/>
          <w:lang w:val="en-US" w:eastAsia="zh-CN"/>
        </w:rPr>
        <w:t>22</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4</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12</w:t>
      </w:r>
      <w:r>
        <w:rPr>
          <w:rFonts w:hint="eastAsia" w:ascii="宋体" w:hAnsi="宋体" w:cs="宋体"/>
          <w:bCs/>
          <w:kern w:val="0"/>
          <w:szCs w:val="21"/>
          <w:highlight w:val="none"/>
        </w:rPr>
        <w:t>日，开展了测量体系管理</w:t>
      </w:r>
      <w:r>
        <w:rPr>
          <w:rFonts w:hint="eastAsia" w:ascii="宋体" w:hAnsi="宋体" w:cs="宋体"/>
          <w:bCs/>
          <w:kern w:val="0"/>
          <w:szCs w:val="21"/>
          <w:highlight w:val="none"/>
          <w:lang w:eastAsia="zh-CN"/>
        </w:rPr>
        <w:t>管理</w:t>
      </w:r>
      <w:r>
        <w:rPr>
          <w:rFonts w:hint="eastAsia" w:ascii="宋体" w:hAnsi="宋体" w:cs="宋体"/>
          <w:bCs/>
          <w:kern w:val="0"/>
          <w:szCs w:val="21"/>
          <w:highlight w:val="none"/>
        </w:rPr>
        <w:t>评审，</w:t>
      </w:r>
      <w:r>
        <w:rPr>
          <w:bCs/>
          <w:szCs w:val="21"/>
          <w:highlight w:val="none"/>
        </w:rPr>
        <w:t>会议由企业总经</w:t>
      </w:r>
      <w:r>
        <w:rPr>
          <w:rFonts w:hint="eastAsia"/>
          <w:bCs/>
          <w:szCs w:val="21"/>
          <w:highlight w:val="none"/>
          <w:lang w:eastAsia="zh-CN"/>
        </w:rPr>
        <w:t>委托</w:t>
      </w:r>
      <w:r>
        <w:rPr>
          <w:sz w:val="21"/>
          <w:szCs w:val="21"/>
          <w:highlight w:val="none"/>
        </w:rPr>
        <w:t>管理者代表</w:t>
      </w:r>
      <w:bookmarkStart w:id="6" w:name="_GoBack"/>
      <w:bookmarkEnd w:id="6"/>
      <w:r>
        <w:rPr>
          <w:rFonts w:hint="eastAsia"/>
          <w:sz w:val="21"/>
          <w:szCs w:val="21"/>
          <w:highlight w:val="none"/>
          <w:lang w:eastAsia="zh-CN"/>
        </w:rPr>
        <w:t>薛伦美</w:t>
      </w:r>
      <w:r>
        <w:rPr>
          <w:rFonts w:hint="eastAsia"/>
          <w:bCs/>
          <w:sz w:val="21"/>
          <w:szCs w:val="21"/>
          <w:highlight w:val="none"/>
          <w:lang w:eastAsia="zh-CN"/>
        </w:rPr>
        <w:t>主持，</w:t>
      </w:r>
      <w:r>
        <w:rPr>
          <w:sz w:val="21"/>
          <w:szCs w:val="21"/>
          <w:highlight w:val="none"/>
        </w:rPr>
        <w:t>管理者代表</w:t>
      </w:r>
      <w:r>
        <w:rPr>
          <w:rFonts w:hint="eastAsia"/>
          <w:sz w:val="21"/>
          <w:szCs w:val="21"/>
          <w:highlight w:val="none"/>
          <w:lang w:eastAsia="zh-CN"/>
        </w:rPr>
        <w:t>及</w:t>
      </w:r>
      <w:r>
        <w:rPr>
          <w:sz w:val="21"/>
          <w:szCs w:val="21"/>
          <w:highlight w:val="none"/>
        </w:rPr>
        <w:t>各部门</w:t>
      </w:r>
      <w:r>
        <w:rPr>
          <w:bCs/>
          <w:sz w:val="21"/>
          <w:szCs w:val="21"/>
          <w:highlight w:val="none"/>
        </w:rPr>
        <w:t>汇报了体系运行情况和部门工作完成情况。</w:t>
      </w:r>
      <w:r>
        <w:rPr>
          <w:rFonts w:hint="eastAsia" w:ascii="宋体" w:hAnsi="宋体" w:cs="宋体"/>
          <w:bCs/>
          <w:kern w:val="0"/>
          <w:sz w:val="21"/>
          <w:szCs w:val="21"/>
          <w:highlight w:val="none"/>
        </w:rPr>
        <w:t>会上肯定了公司</w:t>
      </w:r>
      <w:r>
        <w:rPr>
          <w:rFonts w:hint="eastAsia" w:ascii="宋体" w:hAnsi="宋体" w:cs="宋体"/>
          <w:bCs/>
          <w:kern w:val="0"/>
          <w:szCs w:val="21"/>
          <w:highlight w:val="none"/>
        </w:rPr>
        <w:t>测量管理体系的充分性、有效性和适宜性。</w:t>
      </w:r>
      <w:r>
        <w:rPr>
          <w:rFonts w:hint="eastAsia" w:ascii="宋体" w:hAnsi="宋体" w:cs="宋体"/>
          <w:bCs/>
          <w:kern w:val="0"/>
          <w:szCs w:val="21"/>
        </w:rPr>
        <w:t>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ascii="宋体" w:cs="宋体"/>
          <w:bCs/>
          <w:kern w:val="0"/>
          <w:szCs w:val="21"/>
        </w:rPr>
      </w:pPr>
      <w:r>
        <w:rPr>
          <w:rFonts w:ascii="宋体" w:hAnsi="宋体" w:cs="宋体"/>
          <w:bCs/>
          <w:kern w:val="0"/>
          <w:szCs w:val="21"/>
        </w:rPr>
        <w:t>4.</w:t>
      </w:r>
      <w:r>
        <w:rPr>
          <w:rFonts w:hint="eastAsia" w:ascii="宋体" w:hAnsi="宋体" w:cs="宋体"/>
          <w:bCs/>
          <w:kern w:val="0"/>
          <w:szCs w:val="21"/>
        </w:rPr>
        <w:t>为持续改进而策划的活动的进展，包括：</w:t>
      </w:r>
    </w:p>
    <w:p>
      <w:pPr>
        <w:spacing w:line="360" w:lineRule="auto"/>
        <w:rPr>
          <w:rFonts w:ascii="Times New Roman" w:hAnsi="Times New Roman" w:cs="Times New Roman"/>
          <w:bCs/>
          <w:kern w:val="0"/>
          <w:szCs w:val="21"/>
        </w:rPr>
      </w:pPr>
      <w:r>
        <w:rPr>
          <w:rFonts w:ascii="Times New Roman" w:hAnsi="Times New Roman" w:cs="Times New Roman"/>
          <w:bCs/>
          <w:kern w:val="0"/>
          <w:szCs w:val="21"/>
        </w:rPr>
        <w:t>4.1、该企业为</w:t>
      </w:r>
      <w:r>
        <w:rPr>
          <w:rFonts w:hint="eastAsia" w:ascii="Times New Roman" w:hAnsi="Times New Roman" w:cs="Times New Roman"/>
          <w:bCs/>
          <w:kern w:val="0"/>
          <w:szCs w:val="21"/>
          <w:lang w:eastAsia="zh-CN"/>
        </w:rPr>
        <w:t>：</w:t>
      </w:r>
      <w:bookmarkStart w:id="4" w:name="审核范围"/>
      <w:r>
        <w:rPr>
          <w:color w:val="000000"/>
          <w:szCs w:val="21"/>
        </w:rPr>
        <w:t>资质范围内的水表、智能表、热量表制造；自动抄表软件的研发；供水设备的销售;</w:t>
      </w:r>
      <w:bookmarkEnd w:id="4"/>
      <w:r>
        <w:rPr>
          <w:rFonts w:hint="eastAsia" w:ascii="宋体" w:hAnsi="宋体"/>
          <w:szCs w:val="21"/>
          <w:lang w:eastAsia="zh-CN"/>
        </w:rPr>
        <w:t>。</w:t>
      </w:r>
      <w:r>
        <w:rPr>
          <w:rFonts w:hint="eastAsia"/>
          <w:bCs/>
          <w:sz w:val="21"/>
          <w:szCs w:val="21"/>
          <w:lang w:eastAsia="zh-CN"/>
        </w:rPr>
        <w:t>生产部（质检）</w:t>
      </w:r>
      <w:r>
        <w:rPr>
          <w:rFonts w:ascii="Times New Roman" w:hAnsi="Times New Roman" w:cs="Times New Roman"/>
          <w:bCs/>
          <w:kern w:val="0"/>
          <w:szCs w:val="21"/>
        </w:rPr>
        <w:t>已组织识别</w:t>
      </w:r>
      <w:r>
        <w:rPr>
          <w:rFonts w:hint="eastAsia" w:ascii="Times New Roman" w:hAnsi="Times New Roman" w:cs="Times New Roman"/>
          <w:bCs/>
          <w:kern w:val="0"/>
          <w:szCs w:val="21"/>
          <w:lang w:eastAsia="zh-CN"/>
        </w:rPr>
        <w:t>，</w:t>
      </w:r>
      <w:r>
        <w:rPr>
          <w:rFonts w:hint="eastAsia" w:ascii="宋体" w:hAnsi="宋体" w:cs="宋体"/>
          <w:kern w:val="0"/>
          <w:szCs w:val="21"/>
          <w:lang w:val="zh-CN" w:eastAsia="zh-CN"/>
        </w:rPr>
        <w:t>水表的密封性试验</w:t>
      </w:r>
      <w:r>
        <w:rPr>
          <w:rFonts w:hint="eastAsia" w:ascii="Times New Roman" w:hAnsi="Times New Roman" w:cs="Times New Roman"/>
          <w:szCs w:val="21"/>
          <w:lang w:eastAsia="zh-CN"/>
        </w:rPr>
        <w:t>、示值误差测量</w:t>
      </w:r>
      <w:r>
        <w:rPr>
          <w:rFonts w:hint="eastAsia"/>
          <w:color w:val="auto"/>
          <w:szCs w:val="21"/>
        </w:rPr>
        <w:t>等关键测量过程</w:t>
      </w:r>
      <w:r>
        <w:rPr>
          <w:rFonts w:hint="eastAsia" w:ascii="宋体" w:hAnsi="宋体" w:eastAsia="宋体" w:cs="宋体"/>
          <w:snapToGrid w:val="0"/>
          <w:color w:val="000000"/>
          <w:kern w:val="0"/>
          <w:szCs w:val="21"/>
          <w:lang w:eastAsia="zh-CN"/>
        </w:rPr>
        <w:t>等</w:t>
      </w:r>
      <w:r>
        <w:rPr>
          <w:rFonts w:hint="eastAsia" w:ascii="宋体" w:hAnsi="宋体" w:eastAsia="宋体" w:cs="宋体"/>
          <w:snapToGrid w:val="0"/>
          <w:color w:val="000000"/>
          <w:kern w:val="0"/>
          <w:szCs w:val="21"/>
          <w:lang w:val="en-US" w:eastAsia="zh-CN"/>
        </w:rPr>
        <w:t>18</w:t>
      </w:r>
      <w:r>
        <w:rPr>
          <w:rFonts w:hint="eastAsia" w:ascii="宋体" w:hAnsi="宋体" w:cs="宋体"/>
          <w:kern w:val="0"/>
          <w:szCs w:val="21"/>
          <w:lang w:val="en-US" w:eastAsia="zh-CN"/>
        </w:rPr>
        <w:t>测量过程</w:t>
      </w:r>
      <w:r>
        <w:rPr>
          <w:rFonts w:ascii="Times New Roman" w:hAnsi="Times New Roman" w:cs="Times New Roman"/>
          <w:bCs/>
          <w:kern w:val="0"/>
          <w:szCs w:val="21"/>
        </w:rPr>
        <w:t>，其中</w:t>
      </w:r>
      <w:r>
        <w:rPr>
          <w:rFonts w:hint="eastAsia" w:ascii="Times New Roman" w:hAnsi="Times New Roman" w:cs="Times New Roman"/>
          <w:bCs/>
          <w:kern w:val="0"/>
          <w:szCs w:val="21"/>
          <w:lang w:val="en-US" w:eastAsia="zh-CN"/>
        </w:rPr>
        <w:t>、</w:t>
      </w:r>
      <w:r>
        <w:rPr>
          <w:rFonts w:ascii="Times New Roman" w:hAnsi="Times New Roman" w:cs="Times New Roman"/>
          <w:bCs/>
          <w:kern w:val="0"/>
          <w:szCs w:val="21"/>
        </w:rPr>
        <w:t>关键测量过程</w:t>
      </w:r>
      <w:r>
        <w:rPr>
          <w:rFonts w:hint="eastAsia" w:ascii="Times New Roman" w:hAnsi="Times New Roman" w:cs="Times New Roman"/>
          <w:bCs/>
          <w:kern w:val="0"/>
          <w:szCs w:val="21"/>
          <w:lang w:val="en-US" w:eastAsia="zh-CN"/>
        </w:rPr>
        <w:t>2</w:t>
      </w:r>
      <w:r>
        <w:rPr>
          <w:rFonts w:ascii="Times New Roman" w:hAnsi="Times New Roman" w:cs="Times New Roman"/>
          <w:bCs/>
          <w:kern w:val="0"/>
          <w:szCs w:val="21"/>
        </w:rPr>
        <w:t>个</w:t>
      </w:r>
      <w:r>
        <w:rPr>
          <w:rFonts w:hint="eastAsia" w:ascii="Times New Roman" w:hAnsi="Times New Roman" w:cs="Times New Roman"/>
          <w:bCs/>
          <w:kern w:val="0"/>
          <w:szCs w:val="21"/>
          <w:lang w:eastAsia="zh-CN"/>
        </w:rPr>
        <w:t>；</w:t>
      </w:r>
      <w:r>
        <w:rPr>
          <w:rFonts w:ascii="Times New Roman" w:hAnsi="Times New Roman" w:cs="Times New Roman"/>
          <w:bCs/>
          <w:kern w:val="0"/>
          <w:szCs w:val="21"/>
        </w:rPr>
        <w:t>分别对每个不同大类的测量过程的测量要素从重要性、被测参数名称、技术要求、配备的测量设备名称、测量范围、允许误差（测量不确定度）、环境条件、操作人员资质、测量频次、监视方法等方面，予以有效控制和识别。配备的测量设备经过计量验证，对测量过程的控制和监视，满足顾客的计量要求。</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4.2、检查了企业的测量设备《计量确认明细表》，对</w:t>
      </w:r>
      <w:r>
        <w:rPr>
          <w:rFonts w:hint="eastAsia" w:ascii="Times New Roman" w:hAnsi="Times New Roman" w:cs="Times New Roman"/>
          <w:bCs/>
          <w:kern w:val="0"/>
          <w:szCs w:val="21"/>
          <w:lang w:val="en-US" w:eastAsia="zh-CN"/>
        </w:rPr>
        <w:t>26</w:t>
      </w:r>
      <w:r>
        <w:rPr>
          <w:rFonts w:ascii="Times New Roman" w:hAnsi="Times New Roman" w:cs="Times New Roman"/>
          <w:bCs/>
          <w:kern w:val="0"/>
          <w:szCs w:val="21"/>
        </w:rPr>
        <w:t>台件测量设备中的重要及关键的测量设备进行了计量确认。有测量参数的技术要求，测量设备的计量特性，以及验证方法、验证结果和验证人。最近的检定日期全部在有效期内，验证结果均为合格。涉及关键测量过程</w:t>
      </w:r>
      <w:r>
        <w:rPr>
          <w:rFonts w:hint="eastAsia"/>
          <w:lang w:eastAsia="zh-CN"/>
        </w:rPr>
        <w:t>水表的密封性试验</w:t>
      </w:r>
      <w:r>
        <w:rPr>
          <w:rFonts w:hint="eastAsia" w:ascii="宋体" w:hAnsi="宋体" w:cs="宋体"/>
          <w:kern w:val="0"/>
          <w:szCs w:val="21"/>
        </w:rPr>
        <w:t>测量</w:t>
      </w:r>
      <w:r>
        <w:rPr>
          <w:rFonts w:ascii="Times New Roman" w:hAnsi="Times New Roman" w:cs="Times New Roman"/>
          <w:bCs/>
          <w:kern w:val="0"/>
          <w:szCs w:val="21"/>
        </w:rPr>
        <w:t>过程，计量性能测试、监视记录、监视控制图，均已按测量过程控制规范，进行了有效性监视和记录统计。监视控制图齐全完整。</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4.3. 企业</w:t>
      </w:r>
      <w:r>
        <w:rPr>
          <w:rFonts w:hint="eastAsia" w:ascii="Times New Roman" w:hAnsi="Times New Roman" w:cs="Times New Roman"/>
          <w:bCs/>
          <w:kern w:val="0"/>
          <w:szCs w:val="21"/>
          <w:lang w:eastAsia="zh-CN"/>
        </w:rPr>
        <w:t>未</w:t>
      </w:r>
      <w:r>
        <w:rPr>
          <w:rFonts w:ascii="Times New Roman" w:hAnsi="Times New Roman" w:cs="Times New Roman"/>
          <w:bCs/>
          <w:kern w:val="0"/>
          <w:szCs w:val="21"/>
        </w:rPr>
        <w:t>增加关键测量过程。</w:t>
      </w:r>
      <w:r>
        <w:rPr>
          <w:rFonts w:hint="eastAsia" w:ascii="Times New Roman" w:hAnsi="Times New Roman" w:cs="Times New Roman"/>
          <w:bCs/>
          <w:kern w:val="0"/>
          <w:szCs w:val="21"/>
          <w:lang w:eastAsia="zh-CN"/>
        </w:rPr>
        <w:t>查原有</w:t>
      </w:r>
      <w:r>
        <w:rPr>
          <w:rFonts w:ascii="Times New Roman" w:hAnsi="Times New Roman" w:cs="Times New Roman"/>
          <w:bCs/>
          <w:kern w:val="0"/>
          <w:szCs w:val="21"/>
        </w:rPr>
        <w:t>《</w:t>
      </w:r>
      <w:r>
        <w:rPr>
          <w:rFonts w:hint="eastAsia" w:ascii="Times New Roman" w:hAnsi="Times New Roman" w:eastAsia="宋体" w:cs="Times New Roman"/>
          <w:sz w:val="21"/>
          <w:szCs w:val="21"/>
          <w:lang w:val="en-US" w:eastAsia="zh-CN"/>
        </w:rPr>
        <w:t>DN15</w:t>
      </w:r>
      <w:r>
        <w:rPr>
          <w:rFonts w:hint="eastAsia"/>
          <w:lang w:eastAsia="zh-CN"/>
        </w:rPr>
        <w:t>水表的密封性试验</w:t>
      </w:r>
      <w:r>
        <w:rPr>
          <w:rFonts w:hint="eastAsia" w:ascii="宋体" w:hAnsi="宋体" w:cs="宋体"/>
          <w:kern w:val="0"/>
          <w:szCs w:val="21"/>
        </w:rPr>
        <w:t>测量</w:t>
      </w:r>
      <w:r>
        <w:rPr>
          <w:rFonts w:ascii="Times New Roman" w:hAnsi="Times New Roman" w:cs="Times New Roman"/>
          <w:bCs/>
          <w:kern w:val="0"/>
          <w:szCs w:val="21"/>
        </w:rPr>
        <w:t>过程》，计量要求导出和计量验证记录表填写规范，计量要求导出方法正确；测量设备的配备满足计量要求，测量设备经过检定校准，测量设备验证方法正确。</w:t>
      </w:r>
    </w:p>
    <w:p>
      <w:pPr>
        <w:widowControl/>
        <w:spacing w:line="360" w:lineRule="auto"/>
        <w:rPr>
          <w:rFonts w:ascii="Times New Roman" w:hAnsi="Times New Roman" w:cs="Times New Roman"/>
          <w:bCs/>
          <w:kern w:val="0"/>
          <w:sz w:val="21"/>
          <w:szCs w:val="21"/>
        </w:rPr>
      </w:pPr>
      <w:r>
        <w:rPr>
          <w:rFonts w:ascii="Times New Roman" w:hAnsi="Times New Roman" w:cs="Times New Roman"/>
          <w:bCs/>
          <w:kern w:val="0"/>
          <w:szCs w:val="21"/>
        </w:rPr>
        <w:t>4.4、查</w:t>
      </w:r>
      <w:r>
        <w:rPr>
          <w:rFonts w:ascii="Times New Roman" w:hAnsi="Times New Roman" w:cs="Times New Roman"/>
          <w:bCs/>
          <w:kern w:val="0"/>
          <w:sz w:val="21"/>
          <w:szCs w:val="21"/>
        </w:rPr>
        <w:t>《</w:t>
      </w:r>
      <w:r>
        <w:rPr>
          <w:rFonts w:hint="eastAsia" w:ascii="Times New Roman" w:hAnsi="Times New Roman" w:eastAsia="宋体" w:cs="Times New Roman"/>
          <w:sz w:val="21"/>
          <w:szCs w:val="21"/>
          <w:lang w:val="en-US" w:eastAsia="zh-CN"/>
        </w:rPr>
        <w:t>DN15</w:t>
      </w:r>
      <w:r>
        <w:rPr>
          <w:rFonts w:hint="eastAsia"/>
          <w:lang w:eastAsia="zh-CN"/>
        </w:rPr>
        <w:t>水表的密封性试验</w:t>
      </w:r>
      <w:r>
        <w:rPr>
          <w:rFonts w:ascii="Times New Roman" w:hAnsi="Times New Roman" w:cs="Times New Roman"/>
          <w:bCs/>
          <w:kern w:val="0"/>
          <w:sz w:val="21"/>
          <w:szCs w:val="21"/>
        </w:rPr>
        <w:t>测量不确定度评定》，方法和结果正确；</w:t>
      </w:r>
    </w:p>
    <w:p>
      <w:pPr>
        <w:widowControl/>
        <w:spacing w:line="360" w:lineRule="auto"/>
        <w:rPr>
          <w:rFonts w:ascii="Times New Roman" w:hAnsi="Times New Roman" w:cs="Times New Roman"/>
          <w:bCs/>
          <w:kern w:val="0"/>
          <w:szCs w:val="21"/>
          <w:highlight w:val="none"/>
        </w:rPr>
      </w:pPr>
      <w:r>
        <w:rPr>
          <w:rFonts w:ascii="Times New Roman" w:hAnsi="Times New Roman" w:cs="Times New Roman"/>
          <w:bCs/>
          <w:kern w:val="0"/>
          <w:sz w:val="21"/>
          <w:szCs w:val="21"/>
        </w:rPr>
        <w:t>4.5、查《</w:t>
      </w:r>
      <w:r>
        <w:rPr>
          <w:rFonts w:hint="eastAsia" w:ascii="Times New Roman" w:hAnsi="Times New Roman" w:eastAsia="宋体" w:cs="Times New Roman"/>
          <w:sz w:val="21"/>
          <w:szCs w:val="21"/>
          <w:lang w:val="en-US" w:eastAsia="zh-CN"/>
        </w:rPr>
        <w:t>DN15</w:t>
      </w:r>
      <w:r>
        <w:rPr>
          <w:rFonts w:hint="eastAsia"/>
          <w:lang w:eastAsia="zh-CN"/>
        </w:rPr>
        <w:t>水表的密封性试验</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量验证记录表》，信息内容完整、正确。</w:t>
      </w:r>
    </w:p>
    <w:p>
      <w:pPr>
        <w:widowControl/>
        <w:spacing w:line="360" w:lineRule="auto"/>
        <w:rPr>
          <w:rFonts w:hint="eastAsia" w:ascii="Times New Roman" w:hAnsi="Times New Roman" w:cs="Times New Roman" w:eastAsiaTheme="minorEastAsia"/>
          <w:bCs/>
          <w:color w:val="auto"/>
          <w:kern w:val="0"/>
          <w:szCs w:val="21"/>
          <w:lang w:val="en-US" w:eastAsia="zh-CN"/>
        </w:rPr>
      </w:pPr>
      <w:r>
        <w:rPr>
          <w:rFonts w:ascii="Times New Roman" w:hAnsi="Times New Roman" w:cs="Times New Roman"/>
          <w:bCs/>
          <w:kern w:val="0"/>
          <w:sz w:val="21"/>
          <w:szCs w:val="21"/>
          <w:highlight w:val="none"/>
        </w:rPr>
        <w:t>4.</w:t>
      </w:r>
      <w:r>
        <w:rPr>
          <w:rFonts w:hint="eastAsia" w:ascii="Times New Roman" w:hAnsi="Times New Roman" w:cs="Times New Roman"/>
          <w:bCs/>
          <w:kern w:val="0"/>
          <w:sz w:val="21"/>
          <w:szCs w:val="21"/>
          <w:highlight w:val="none"/>
          <w:lang w:val="en-US" w:eastAsia="zh-CN"/>
        </w:rPr>
        <w:t>6</w:t>
      </w:r>
      <w:r>
        <w:rPr>
          <w:rFonts w:hint="eastAsia" w:cs="宋体" w:asciiTheme="minorEastAsia" w:hAnsiTheme="minorEastAsia"/>
          <w:color w:val="auto"/>
          <w:kern w:val="0"/>
          <w:szCs w:val="21"/>
          <w:highlight w:val="none"/>
        </w:rPr>
        <w:t>测量设备的</w:t>
      </w:r>
      <w:r>
        <w:rPr>
          <w:rFonts w:hint="eastAsia" w:cs="宋体" w:asciiTheme="minorEastAsia" w:hAnsiTheme="minorEastAsia"/>
          <w:color w:val="auto"/>
          <w:kern w:val="0"/>
          <w:sz w:val="21"/>
          <w:szCs w:val="21"/>
          <w:highlight w:val="none"/>
        </w:rPr>
        <w:t>溯源：</w:t>
      </w:r>
      <w:r>
        <w:rPr>
          <w:rFonts w:hint="eastAsia" w:ascii="宋体" w:hAnsi="宋体" w:eastAsia="宋体" w:cs="宋体"/>
          <w:sz w:val="21"/>
          <w:szCs w:val="21"/>
          <w:lang w:eastAsia="zh-CN"/>
        </w:rPr>
        <w:t>企业建立水表检定装置，取得专项计量授权证对社会可以开展检定</w:t>
      </w:r>
      <w:r>
        <w:rPr>
          <w:rFonts w:hint="eastAsia" w:ascii="宋体" w:hAnsi="宋体" w:eastAsia="宋体"/>
          <w:bCs/>
          <w:color w:val="auto"/>
          <w:sz w:val="21"/>
          <w:szCs w:val="21"/>
          <w:highlight w:val="none"/>
        </w:rPr>
        <w:t>，企业</w:t>
      </w:r>
      <w:r>
        <w:rPr>
          <w:rFonts w:hint="eastAsia" w:ascii="宋体" w:hAnsi="宋体" w:eastAsia="宋体"/>
          <w:bCs/>
          <w:color w:val="auto"/>
          <w:sz w:val="21"/>
          <w:szCs w:val="21"/>
          <w:highlight w:val="none"/>
          <w:lang w:eastAsia="zh-CN"/>
        </w:rPr>
        <w:t>其它</w:t>
      </w:r>
      <w:r>
        <w:rPr>
          <w:rFonts w:hint="eastAsia" w:ascii="宋体" w:hAnsi="宋体" w:eastAsia="宋体"/>
          <w:bCs/>
          <w:color w:val="auto"/>
          <w:sz w:val="21"/>
          <w:szCs w:val="21"/>
          <w:highlight w:val="none"/>
        </w:rPr>
        <w:t>测量设备外送</w:t>
      </w:r>
      <w:r>
        <w:rPr>
          <w:rFonts w:hint="eastAsia" w:eastAsia="宋体" w:cs="Tahoma"/>
          <w:sz w:val="21"/>
          <w:szCs w:val="21"/>
        </w:rPr>
        <w:t>山东省计量科学研究院</w:t>
      </w:r>
      <w:r>
        <w:rPr>
          <w:rFonts w:hint="eastAsia" w:cs="Tahoma"/>
          <w:color w:val="auto"/>
          <w:sz w:val="21"/>
          <w:szCs w:val="21"/>
          <w:highlight w:val="none"/>
          <w:lang w:eastAsia="zh-CN"/>
        </w:rPr>
        <w:t>，</w:t>
      </w:r>
      <w:r>
        <w:rPr>
          <w:rFonts w:hint="eastAsia" w:ascii="宋体" w:hAnsi="宋体" w:eastAsia="宋体" w:cs="宋体"/>
          <w:sz w:val="21"/>
          <w:szCs w:val="21"/>
          <w:lang w:eastAsia="zh-CN"/>
        </w:rPr>
        <w:t>（国）法计（</w:t>
      </w:r>
      <w:r>
        <w:rPr>
          <w:rFonts w:hint="eastAsia" w:ascii="宋体" w:hAnsi="宋体" w:eastAsia="宋体" w:cs="宋体"/>
          <w:sz w:val="21"/>
          <w:szCs w:val="21"/>
          <w:lang w:val="en-US" w:eastAsia="zh-CN"/>
        </w:rPr>
        <w:t>2017</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01024；</w:t>
      </w:r>
      <w:r>
        <w:rPr>
          <w:rFonts w:hint="eastAsia" w:ascii="宋体" w:hAnsi="宋体" w:eastAsia="宋体" w:cs="宋体"/>
          <w:color w:val="auto"/>
          <w:sz w:val="21"/>
          <w:szCs w:val="21"/>
          <w:highlight w:val="none"/>
          <w:lang w:val="en-US" w:eastAsia="zh-CN"/>
        </w:rPr>
        <w:t>；</w:t>
      </w:r>
      <w:r>
        <w:rPr>
          <w:rFonts w:hint="eastAsia" w:eastAsia="宋体" w:cs="Tahoma"/>
          <w:sz w:val="21"/>
          <w:szCs w:val="21"/>
        </w:rPr>
        <w:t>淄博市淄川区计量测试所</w:t>
      </w:r>
      <w:r>
        <w:rPr>
          <w:rFonts w:hint="eastAsia" w:ascii="宋体" w:hAnsi="宋体" w:eastAsia="宋体" w:cs="宋体"/>
          <w:sz w:val="21"/>
          <w:szCs w:val="21"/>
          <w:lang w:val="en-US" w:eastAsia="zh-CN"/>
        </w:rPr>
        <w:t>（鲁）法计 （2009）370309号；</w:t>
      </w:r>
      <w:r>
        <w:rPr>
          <w:rFonts w:hint="eastAsia" w:ascii="宋体" w:hAnsi="宋体" w:eastAsia="宋体" w:cs="宋体"/>
          <w:color w:val="auto"/>
          <w:sz w:val="21"/>
          <w:szCs w:val="21"/>
          <w:highlight w:val="none"/>
          <w:lang w:val="en-US" w:eastAsia="zh-CN"/>
        </w:rPr>
        <w:t xml:space="preserve"> </w:t>
      </w:r>
      <w:r>
        <w:rPr>
          <w:rFonts w:hint="eastAsia"/>
          <w:color w:val="auto"/>
          <w:sz w:val="21"/>
          <w:szCs w:val="21"/>
          <w:highlight w:val="none"/>
          <w:lang w:val="en-US" w:eastAsia="zh-CN"/>
        </w:rPr>
        <w:t>量</w:t>
      </w:r>
      <w:r>
        <w:rPr>
          <w:rFonts w:hint="eastAsia" w:ascii="宋体" w:hAnsi="宋体" w:eastAsia="宋体" w:cs="宋体"/>
          <w:color w:val="auto"/>
          <w:sz w:val="21"/>
          <w:szCs w:val="21"/>
          <w:highlight w:val="none"/>
        </w:rPr>
        <w:t>值溯源符合标准要求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随机抽查</w:t>
      </w:r>
      <w:r>
        <w:rPr>
          <w:rFonts w:hint="eastAsia" w:ascii="宋体" w:hAnsi="宋体" w:eastAsia="宋体" w:cs="宋体"/>
          <w:color w:val="auto"/>
          <w:sz w:val="21"/>
          <w:szCs w:val="21"/>
          <w:highlight w:val="none"/>
          <w:lang w:val="en-US" w:eastAsia="zh-CN"/>
        </w:rPr>
        <w:t>6份校准证书</w:t>
      </w:r>
      <w:r>
        <w:rPr>
          <w:rFonts w:hint="eastAsia" w:ascii="宋体" w:hAnsi="宋体" w:eastAsia="宋体" w:cs="宋体"/>
          <w:color w:val="auto"/>
          <w:sz w:val="21"/>
          <w:szCs w:val="21"/>
          <w:highlight w:val="none"/>
        </w:rPr>
        <w:t>，证书中使用的计量标准符合要求，填写规范，信息无遗漏，授权人</w:t>
      </w:r>
      <w:r>
        <w:rPr>
          <w:rFonts w:ascii="Times New Roman" w:hAnsi="Times New Roman"/>
          <w:color w:val="auto"/>
          <w:sz w:val="21"/>
          <w:szCs w:val="21"/>
          <w:highlight w:val="none"/>
        </w:rPr>
        <w:t>签章资质有效，符合要求。详见附件《测量设备溯源抽查表》。</w:t>
      </w:r>
    </w:p>
    <w:p>
      <w:pPr>
        <w:snapToGrid w:val="0"/>
        <w:spacing w:line="460" w:lineRule="exact"/>
        <w:rPr>
          <w:rFonts w:hint="eastAsia" w:ascii="宋体" w:hAnsi="宋体" w:cs="宋体"/>
          <w:bCs/>
          <w:kern w:val="0"/>
          <w:szCs w:val="21"/>
          <w:lang w:eastAsia="zh-CN"/>
        </w:rPr>
      </w:pPr>
      <w:r>
        <w:rPr>
          <w:rFonts w:ascii="宋体" w:hAnsi="宋体" w:cs="宋体"/>
          <w:bCs/>
          <w:kern w:val="0"/>
          <w:szCs w:val="21"/>
        </w:rPr>
        <w:t>5.</w:t>
      </w:r>
      <w:r>
        <w:rPr>
          <w:rFonts w:hint="eastAsia" w:ascii="宋体" w:hAnsi="宋体" w:cs="宋体"/>
          <w:bCs/>
          <w:kern w:val="0"/>
          <w:szCs w:val="21"/>
        </w:rPr>
        <w:t>对</w:t>
      </w:r>
      <w:r>
        <w:rPr>
          <w:rFonts w:hint="eastAsia" w:ascii="宋体" w:hAnsi="宋体" w:cs="宋体"/>
          <w:bCs/>
          <w:kern w:val="0"/>
          <w:szCs w:val="21"/>
          <w:lang w:eastAsia="zh-CN"/>
        </w:rPr>
        <w:t>认证</w:t>
      </w:r>
      <w:r>
        <w:rPr>
          <w:rFonts w:hint="eastAsia" w:ascii="宋体" w:hAnsi="宋体" w:cs="宋体"/>
          <w:bCs/>
          <w:kern w:val="0"/>
          <w:szCs w:val="21"/>
        </w:rPr>
        <w:t>审核时提出的不符合项的纠正措施情况：</w:t>
      </w:r>
    </w:p>
    <w:p>
      <w:pPr>
        <w:snapToGrid w:val="0"/>
        <w:spacing w:line="460" w:lineRule="exact"/>
        <w:ind w:firstLine="420" w:firstLineChars="200"/>
        <w:rPr>
          <w:rFonts w:ascii="宋体" w:hAnsi="宋体" w:cs="宋体"/>
          <w:bCs/>
          <w:kern w:val="0"/>
          <w:szCs w:val="21"/>
        </w:rPr>
      </w:pPr>
      <w:r>
        <w:rPr>
          <w:rFonts w:hint="eastAsia" w:ascii="宋体" w:hAnsi="宋体"/>
          <w:b w:val="0"/>
          <w:bCs/>
          <w:szCs w:val="21"/>
        </w:rPr>
        <w:t>公司</w:t>
      </w:r>
      <w:r>
        <w:rPr>
          <w:rFonts w:hint="eastAsia" w:ascii="宋体" w:hAnsi="宋体"/>
          <w:b w:val="0"/>
          <w:bCs/>
          <w:sz w:val="21"/>
          <w:szCs w:val="21"/>
        </w:rPr>
        <w:t>对</w:t>
      </w:r>
      <w:r>
        <w:rPr>
          <w:rFonts w:hint="eastAsia" w:ascii="宋体" w:hAnsi="宋体"/>
          <w:b w:val="0"/>
          <w:bCs/>
          <w:sz w:val="21"/>
          <w:szCs w:val="21"/>
          <w:lang w:eastAsia="zh-CN"/>
        </w:rPr>
        <w:t>认证</w:t>
      </w:r>
      <w:r>
        <w:rPr>
          <w:rFonts w:hint="eastAsia" w:ascii="宋体" w:hAnsi="宋体"/>
          <w:b w:val="0"/>
          <w:bCs/>
          <w:sz w:val="21"/>
          <w:szCs w:val="21"/>
        </w:rPr>
        <w:t>审核中的</w:t>
      </w:r>
      <w:r>
        <w:rPr>
          <w:rFonts w:hint="eastAsia" w:ascii="宋体" w:hAnsi="宋体"/>
          <w:b w:val="0"/>
          <w:bCs/>
          <w:sz w:val="21"/>
          <w:szCs w:val="21"/>
          <w:lang w:val="en-US" w:eastAsia="zh-CN"/>
        </w:rPr>
        <w:t>1</w:t>
      </w:r>
      <w:r>
        <w:rPr>
          <w:rFonts w:hint="eastAsia" w:ascii="宋体" w:hAnsi="宋体"/>
          <w:b w:val="0"/>
          <w:bCs/>
          <w:sz w:val="21"/>
          <w:szCs w:val="21"/>
        </w:rPr>
        <w:t>个不符合项，及时制定整改计划，采取了如下纠正措施：已对开出的不符合项：</w:t>
      </w:r>
      <w:r>
        <w:rPr>
          <w:rFonts w:hint="eastAsia" w:ascii="宋体" w:hAnsi="宋体"/>
          <w:b w:val="0"/>
          <w:bCs/>
          <w:sz w:val="21"/>
          <w:szCs w:val="21"/>
          <w:lang w:eastAsia="zh-CN"/>
        </w:rPr>
        <w:t>“</w:t>
      </w:r>
      <w:r>
        <w:rPr>
          <w:rFonts w:hint="eastAsia" w:ascii="宋体" w:hAnsi="宋体" w:cs="宋体"/>
          <w:kern w:val="0"/>
          <w:szCs w:val="21"/>
        </w:rPr>
        <w:t>在生产部检测生产线，查其所提供水表流量检测记录内</w:t>
      </w:r>
      <w:r>
        <w:rPr>
          <w:rFonts w:hint="eastAsia"/>
          <w:bCs/>
          <w:szCs w:val="21"/>
        </w:rPr>
        <w:t>容中技术特性依据为G</w:t>
      </w:r>
      <w:r>
        <w:rPr>
          <w:bCs/>
          <w:szCs w:val="21"/>
        </w:rPr>
        <w:t>B/T778.1-2007</w:t>
      </w:r>
      <w:r>
        <w:rPr>
          <w:rFonts w:hint="eastAsia"/>
          <w:bCs/>
          <w:szCs w:val="21"/>
        </w:rPr>
        <w:t>，该标准已过期</w:t>
      </w:r>
      <w:r>
        <w:rPr>
          <w:rFonts w:hint="eastAsia" w:cs="宋体"/>
          <w:szCs w:val="21"/>
        </w:rPr>
        <w:t>。</w:t>
      </w:r>
      <w:r>
        <w:rPr>
          <w:rFonts w:hint="eastAsia" w:ascii="宋体" w:hAnsi="宋体" w:cs="宋体"/>
          <w:kern w:val="0"/>
          <w:szCs w:val="21"/>
        </w:rPr>
        <w:t>不符合</w:t>
      </w:r>
      <w:r>
        <w:rPr>
          <w:rFonts w:ascii="宋体" w:hAnsi="宋体" w:cs="宋体"/>
          <w:kern w:val="0"/>
          <w:szCs w:val="21"/>
        </w:rPr>
        <w:t xml:space="preserve"> GB/T 19022-2003/ISO 10012</w:t>
      </w:r>
      <w:r>
        <w:rPr>
          <w:rFonts w:hint="eastAsia" w:ascii="宋体" w:hAnsi="宋体" w:cs="宋体"/>
          <w:kern w:val="0"/>
          <w:szCs w:val="21"/>
        </w:rPr>
        <w:t>：</w:t>
      </w:r>
      <w:r>
        <w:rPr>
          <w:rFonts w:ascii="宋体" w:hAnsi="宋体" w:cs="宋体"/>
          <w:kern w:val="0"/>
          <w:szCs w:val="21"/>
        </w:rPr>
        <w:t>2003</w:t>
      </w:r>
      <w:r>
        <w:rPr>
          <w:rFonts w:hint="eastAsia" w:ascii="宋体" w:hAnsi="宋体" w:cs="宋体"/>
          <w:kern w:val="0"/>
          <w:szCs w:val="21"/>
        </w:rPr>
        <w:t>标准中</w:t>
      </w:r>
      <w:r>
        <w:rPr>
          <w:rFonts w:ascii="宋体" w:hAnsi="宋体" w:cs="宋体"/>
          <w:kern w:val="0"/>
          <w:szCs w:val="21"/>
        </w:rPr>
        <w:t>6.2.1</w:t>
      </w:r>
      <w:r>
        <w:rPr>
          <w:rFonts w:hint="eastAsia" w:ascii="宋体" w:hAnsi="宋体" w:cs="宋体"/>
          <w:kern w:val="0"/>
          <w:szCs w:val="21"/>
        </w:rPr>
        <w:t>程序相关规定要求</w:t>
      </w:r>
      <w:r>
        <w:rPr>
          <w:rFonts w:hint="eastAsia" w:ascii="宋体" w:hAnsi="宋体" w:cs="宋体"/>
          <w:kern w:val="0"/>
          <w:szCs w:val="21"/>
          <w:lang w:val="en-US" w:eastAsia="zh-CN"/>
        </w:rPr>
        <w:t>。</w:t>
      </w:r>
      <w:r>
        <w:rPr>
          <w:rFonts w:hint="eastAsia" w:ascii="Times New Roman" w:hAnsi="Times New Roman"/>
          <w:b w:val="0"/>
          <w:bCs/>
          <w:sz w:val="21"/>
          <w:szCs w:val="21"/>
          <w:lang w:val="en-US" w:eastAsia="zh-CN"/>
        </w:rPr>
        <w:t>.</w:t>
      </w:r>
      <w:r>
        <w:rPr>
          <w:rFonts w:hint="eastAsia" w:ascii="宋体" w:hAnsi="宋体" w:cs="宋体"/>
          <w:b w:val="0"/>
          <w:bCs/>
          <w:kern w:val="0"/>
          <w:sz w:val="21"/>
          <w:szCs w:val="21"/>
        </w:rPr>
        <w:t>经本次现场审核，审核组通过对整改完成情况及纠正措施有效性进行查验，确认公司上次审核中确定的</w:t>
      </w:r>
      <w:r>
        <w:rPr>
          <w:rFonts w:hint="eastAsia" w:ascii="宋体" w:hAnsi="宋体" w:cs="宋体"/>
          <w:b w:val="0"/>
          <w:bCs/>
          <w:kern w:val="0"/>
          <w:sz w:val="21"/>
          <w:szCs w:val="21"/>
          <w:lang w:val="en-US" w:eastAsia="zh-CN"/>
        </w:rPr>
        <w:t>1</w:t>
      </w:r>
      <w:r>
        <w:rPr>
          <w:rFonts w:hint="eastAsia" w:ascii="宋体" w:hAnsi="宋体" w:cs="宋体"/>
          <w:b w:val="0"/>
          <w:bCs/>
          <w:kern w:val="0"/>
          <w:sz w:val="21"/>
          <w:szCs w:val="21"/>
        </w:rPr>
        <w:t>个不符合项，该公司</w:t>
      </w:r>
      <w:r>
        <w:rPr>
          <w:rFonts w:hint="eastAsia" w:ascii="宋体" w:hAnsi="宋体" w:cs="宋体"/>
          <w:kern w:val="0"/>
          <w:sz w:val="21"/>
          <w:szCs w:val="21"/>
        </w:rPr>
        <w:t>所采取的纠正措施按时整改完成，纠正措施有效，预防再次发生。同意关闭不符合项。。</w:t>
      </w:r>
    </w:p>
    <w:p>
      <w:pPr>
        <w:widowControl/>
        <w:spacing w:line="360" w:lineRule="auto"/>
        <w:rPr>
          <w:rFonts w:ascii="宋体" w:cs="宋体"/>
          <w:bCs/>
          <w:kern w:val="0"/>
          <w:szCs w:val="21"/>
        </w:rPr>
      </w:pPr>
      <w:r>
        <w:rPr>
          <w:rFonts w:ascii="宋体" w:hAnsi="宋体" w:cs="宋体"/>
          <w:bCs/>
          <w:kern w:val="0"/>
          <w:szCs w:val="21"/>
        </w:rPr>
        <w:t>6.</w:t>
      </w:r>
      <w:r>
        <w:rPr>
          <w:rFonts w:hint="eastAsia" w:ascii="宋体" w:hAnsi="宋体" w:cs="宋体"/>
          <w:bCs/>
          <w:kern w:val="0"/>
          <w:szCs w:val="21"/>
        </w:rPr>
        <w:t>对投诉的处理情况：</w:t>
      </w:r>
    </w:p>
    <w:p>
      <w:pPr>
        <w:widowControl/>
        <w:spacing w:line="360" w:lineRule="auto"/>
        <w:rPr>
          <w:rFonts w:hint="eastAsia"/>
          <w:szCs w:val="21"/>
          <w:lang w:eastAsia="zh-CN"/>
        </w:rPr>
      </w:pPr>
      <w:r>
        <w:rPr>
          <w:rFonts w:hint="eastAsia" w:ascii="宋体" w:hAnsi="宋体" w:cs="宋体"/>
          <w:bCs/>
          <w:kern w:val="0"/>
          <w:szCs w:val="21"/>
        </w:rPr>
        <w:t>公司目前尚未接到客户在</w:t>
      </w:r>
      <w:r>
        <w:rPr>
          <w:rFonts w:hint="eastAsia" w:ascii="宋体" w:hAnsi="宋体" w:cs="宋体"/>
          <w:bCs/>
          <w:kern w:val="0"/>
          <w:szCs w:val="21"/>
          <w:lang w:eastAsia="zh-CN"/>
        </w:rPr>
        <w:t>生产</w:t>
      </w:r>
      <w:r>
        <w:rPr>
          <w:rFonts w:hint="eastAsia" w:ascii="宋体" w:hAnsi="宋体" w:cs="宋体"/>
          <w:bCs/>
          <w:kern w:val="0"/>
          <w:szCs w:val="21"/>
        </w:rPr>
        <w:t>产品</w:t>
      </w:r>
      <w:r>
        <w:rPr>
          <w:rFonts w:hint="eastAsia" w:ascii="宋体" w:hAnsi="宋体" w:cs="宋体"/>
          <w:bCs/>
          <w:kern w:val="0"/>
          <w:szCs w:val="21"/>
          <w:lang w:eastAsia="zh-CN"/>
        </w:rPr>
        <w:t>、销售、</w:t>
      </w:r>
      <w:r>
        <w:rPr>
          <w:rFonts w:hint="eastAsia"/>
          <w:szCs w:val="21"/>
          <w:lang w:eastAsia="zh-CN"/>
        </w:rPr>
        <w:t>服务</w:t>
      </w:r>
      <w:r>
        <w:rPr>
          <w:rFonts w:hint="eastAsia" w:ascii="宋体" w:hAnsi="宋体" w:cs="宋体"/>
          <w:bCs/>
          <w:kern w:val="0"/>
          <w:szCs w:val="21"/>
          <w:lang w:eastAsia="zh-CN"/>
        </w:rPr>
        <w:t>产品</w:t>
      </w:r>
      <w:r>
        <w:rPr>
          <w:rFonts w:hint="eastAsia" w:ascii="宋体" w:hAnsi="宋体" w:cs="宋体"/>
          <w:bCs/>
          <w:kern w:val="0"/>
          <w:szCs w:val="21"/>
          <w:lang w:val="en-US" w:eastAsia="zh-CN"/>
        </w:rPr>
        <w:t xml:space="preserve"> ，</w:t>
      </w:r>
      <w:r>
        <w:rPr>
          <w:rFonts w:hint="eastAsia" w:ascii="宋体" w:hAnsi="宋体" w:cs="宋体"/>
          <w:bCs/>
          <w:kern w:val="0"/>
          <w:szCs w:val="21"/>
          <w:lang w:eastAsia="zh-CN"/>
        </w:rPr>
        <w:t>在</w:t>
      </w:r>
      <w:r>
        <w:rPr>
          <w:rFonts w:hint="eastAsia" w:ascii="宋体" w:hAnsi="宋体" w:cs="宋体"/>
          <w:bCs/>
          <w:kern w:val="0"/>
          <w:szCs w:val="21"/>
        </w:rPr>
        <w:t>质量、物料交接、安全、现场管理等方面的投诉和纠纷。</w:t>
      </w:r>
      <w:r>
        <w:rPr>
          <w:szCs w:val="21"/>
        </w:rPr>
        <w:t>企业</w:t>
      </w:r>
      <w:r>
        <w:rPr>
          <w:rFonts w:hint="eastAsia"/>
          <w:szCs w:val="21"/>
          <w:lang w:eastAsia="zh-CN"/>
        </w:rPr>
        <w:t>在</w:t>
      </w:r>
      <w:r>
        <w:rPr>
          <w:szCs w:val="21"/>
        </w:rPr>
        <w:t>生产产品</w:t>
      </w:r>
      <w:r>
        <w:rPr>
          <w:rFonts w:hint="eastAsia"/>
          <w:szCs w:val="21"/>
          <w:lang w:eastAsia="zh-CN"/>
        </w:rPr>
        <w:t>和</w:t>
      </w:r>
      <w:r>
        <w:rPr>
          <w:rFonts w:hint="eastAsia" w:ascii="宋体" w:hAnsi="宋体" w:cs="宋体"/>
          <w:bCs/>
          <w:kern w:val="0"/>
          <w:szCs w:val="21"/>
          <w:lang w:eastAsia="zh-CN"/>
        </w:rPr>
        <w:t>销售</w:t>
      </w:r>
      <w:r>
        <w:rPr>
          <w:rFonts w:hint="eastAsia"/>
          <w:szCs w:val="21"/>
          <w:lang w:eastAsia="zh-CN"/>
        </w:rPr>
        <w:t>、服务产品均能</w:t>
      </w:r>
      <w:r>
        <w:rPr>
          <w:szCs w:val="21"/>
        </w:rPr>
        <w:t>够满足顾客</w:t>
      </w:r>
      <w:r>
        <w:rPr>
          <w:rFonts w:hint="eastAsia"/>
          <w:szCs w:val="21"/>
          <w:lang w:eastAsia="zh-CN"/>
        </w:rPr>
        <w:t>在</w:t>
      </w:r>
      <w:r>
        <w:rPr>
          <w:szCs w:val="21"/>
        </w:rPr>
        <w:t>行业标准对产品</w:t>
      </w:r>
      <w:r>
        <w:rPr>
          <w:rFonts w:hint="eastAsia"/>
          <w:szCs w:val="21"/>
          <w:lang w:eastAsia="zh-CN"/>
        </w:rPr>
        <w:t>和</w:t>
      </w:r>
      <w:r>
        <w:rPr>
          <w:rFonts w:hint="eastAsia" w:ascii="宋体" w:hAnsi="宋体" w:cs="宋体"/>
          <w:bCs/>
          <w:kern w:val="0"/>
          <w:szCs w:val="21"/>
          <w:lang w:eastAsia="zh-CN"/>
        </w:rPr>
        <w:t>销售</w:t>
      </w:r>
      <w:r>
        <w:rPr>
          <w:rFonts w:hint="eastAsia"/>
          <w:szCs w:val="21"/>
          <w:lang w:eastAsia="zh-CN"/>
        </w:rPr>
        <w:t>、服务</w:t>
      </w:r>
      <w:r>
        <w:rPr>
          <w:szCs w:val="21"/>
        </w:rPr>
        <w:t>的要求。产品质量较好，未有顾客投诉。顾客</w:t>
      </w:r>
      <w:r>
        <w:rPr>
          <w:rFonts w:hint="eastAsia"/>
          <w:szCs w:val="21"/>
          <w:lang w:eastAsia="zh-CN"/>
        </w:rPr>
        <w:t>满意度达到标准要求。</w:t>
      </w:r>
    </w:p>
    <w:p>
      <w:pPr>
        <w:widowControl/>
        <w:spacing w:line="360" w:lineRule="auto"/>
        <w:rPr>
          <w:rFonts w:ascii="宋体" w:cs="宋体"/>
          <w:bCs/>
          <w:kern w:val="0"/>
          <w:szCs w:val="21"/>
        </w:rPr>
      </w:pPr>
      <w:r>
        <w:rPr>
          <w:rFonts w:ascii="宋体" w:hAnsi="宋体" w:cs="宋体"/>
          <w:bCs/>
          <w:kern w:val="0"/>
          <w:szCs w:val="21"/>
        </w:rPr>
        <w:t>7.</w:t>
      </w:r>
      <w:r>
        <w:rPr>
          <w:rFonts w:hint="eastAsia" w:ascii="宋体" w:hAnsi="宋体" w:cs="宋体"/>
          <w:bCs/>
          <w:kern w:val="0"/>
          <w:szCs w:val="21"/>
        </w:rPr>
        <w:t>测量管理体系在实现获证客户目标方面的有效性及持续的运作控制情况：</w:t>
      </w:r>
    </w:p>
    <w:p>
      <w:pPr>
        <w:widowControl/>
        <w:spacing w:line="360" w:lineRule="auto"/>
        <w:ind w:firstLine="420" w:firstLineChars="200"/>
        <w:rPr>
          <w:rFonts w:cs="宋体" w:asciiTheme="minorEastAsia" w:hAnsiTheme="minorEastAsia"/>
          <w:bCs/>
          <w:kern w:val="0"/>
          <w:szCs w:val="21"/>
        </w:rPr>
      </w:pPr>
      <w:r>
        <w:rPr>
          <w:rFonts w:hint="eastAsia" w:cs="宋体" w:asciiTheme="minorEastAsia" w:hAnsiTheme="minorEastAsia"/>
          <w:bCs/>
          <w:kern w:val="0"/>
          <w:szCs w:val="21"/>
        </w:rPr>
        <w:t>企业规定了公司的计量工作目标</w:t>
      </w:r>
      <w:r>
        <w:rPr>
          <w:rFonts w:hint="eastAsia" w:cs="宋体" w:asciiTheme="minorEastAsia" w:hAnsiTheme="minorEastAsia"/>
          <w:bCs/>
          <w:kern w:val="0"/>
          <w:szCs w:val="21"/>
          <w:lang w:val="en-US" w:eastAsia="zh-CN"/>
        </w:rPr>
        <w:t>5</w:t>
      </w:r>
      <w:r>
        <w:rPr>
          <w:rFonts w:hint="eastAsia" w:cs="宋体" w:asciiTheme="minorEastAsia" w:hAnsiTheme="minorEastAsia"/>
          <w:bCs/>
          <w:kern w:val="0"/>
          <w:szCs w:val="21"/>
        </w:rPr>
        <w:t>项，质量目标与计量方针一致。202</w:t>
      </w:r>
      <w:r>
        <w:rPr>
          <w:rFonts w:hint="eastAsia" w:cs="宋体" w:asciiTheme="minorEastAsia" w:hAnsiTheme="minorEastAsia"/>
          <w:bCs/>
          <w:kern w:val="0"/>
          <w:szCs w:val="21"/>
          <w:lang w:val="en-US" w:eastAsia="zh-CN"/>
        </w:rPr>
        <w:t>1</w:t>
      </w:r>
      <w:r>
        <w:rPr>
          <w:rFonts w:hint="eastAsia" w:cs="宋体" w:asciiTheme="minorEastAsia" w:hAnsiTheme="minorEastAsia"/>
          <w:bCs/>
          <w:kern w:val="0"/>
          <w:szCs w:val="21"/>
        </w:rPr>
        <w:t>年度质量目标已分解。抽查企业</w:t>
      </w:r>
      <w:r>
        <w:rPr>
          <w:rFonts w:hint="eastAsia" w:cs="宋体" w:asciiTheme="minorEastAsia" w:hAnsiTheme="minorEastAsia"/>
          <w:bCs/>
          <w:kern w:val="0"/>
          <w:szCs w:val="21"/>
          <w:lang w:val="en-US" w:eastAsia="zh-CN"/>
        </w:rPr>
        <w:t>2021年4-12月和2022年1-3月，4</w:t>
      </w:r>
      <w:r>
        <w:rPr>
          <w:rFonts w:hint="eastAsia" w:cs="宋体" w:asciiTheme="minorEastAsia" w:hAnsiTheme="minorEastAsia"/>
          <w:bCs/>
          <w:kern w:val="0"/>
          <w:szCs w:val="21"/>
        </w:rPr>
        <w:t>个部门的《测量管理体系目标分解考核表》，有实施结果汇总。质量目标完成情况，符合企业目标管理控制程序要求 。质量目标完成情况达到质量目标要求。基本覆盖标准要素，符合GB/T 19022-2003标准要求。</w:t>
      </w:r>
    </w:p>
    <w:p>
      <w:pPr>
        <w:widowControl/>
        <w:spacing w:line="360" w:lineRule="auto"/>
        <w:rPr>
          <w:rFonts w:ascii="宋体" w:cs="宋体"/>
          <w:bCs/>
          <w:kern w:val="0"/>
          <w:szCs w:val="21"/>
        </w:rPr>
      </w:pPr>
      <w:r>
        <w:rPr>
          <w:rFonts w:ascii="宋体" w:hAnsi="宋体" w:cs="宋体"/>
          <w:bCs/>
          <w:kern w:val="0"/>
          <w:szCs w:val="21"/>
        </w:rPr>
        <w:t>8.</w:t>
      </w:r>
      <w:r>
        <w:rPr>
          <w:rFonts w:hint="eastAsia" w:ascii="宋体" w:hAnsi="宋体" w:cs="宋体"/>
          <w:bCs/>
          <w:kern w:val="0"/>
          <w:szCs w:val="21"/>
        </w:rPr>
        <w:t>对企业组织任何变更的审核：</w:t>
      </w:r>
    </w:p>
    <w:p>
      <w:pPr>
        <w:widowControl/>
        <w:spacing w:line="360" w:lineRule="auto"/>
        <w:rPr>
          <w:rFonts w:hint="eastAsia" w:ascii="宋体" w:hAnsi="宋体"/>
          <w:bCs/>
          <w:szCs w:val="21"/>
          <w:lang w:eastAsia="zh-CN"/>
        </w:rPr>
      </w:pPr>
      <w:r>
        <w:rPr>
          <w:rFonts w:hint="eastAsia" w:ascii="宋体" w:hAnsi="宋体" w:cs="宋体"/>
          <w:bCs/>
          <w:kern w:val="0"/>
          <w:szCs w:val="21"/>
          <w:highlight w:val="none"/>
        </w:rPr>
        <w:t>公司在测量管理体系运行方面</w:t>
      </w:r>
      <w:r>
        <w:rPr>
          <w:rFonts w:hint="eastAsia" w:ascii="宋体" w:hAnsi="宋体" w:cs="宋体"/>
          <w:bCs/>
          <w:kern w:val="0"/>
          <w:szCs w:val="21"/>
          <w:highlight w:val="none"/>
          <w:lang w:eastAsia="zh-CN"/>
        </w:rPr>
        <w:t>正常</w:t>
      </w:r>
      <w:r>
        <w:rPr>
          <w:rFonts w:hint="eastAsia" w:ascii="宋体" w:hAnsi="宋体" w:cs="宋体"/>
          <w:bCs/>
          <w:kern w:val="0"/>
          <w:szCs w:val="21"/>
          <w:highlight w:val="none"/>
        </w:rPr>
        <w:t>，</w:t>
      </w:r>
      <w:r>
        <w:rPr>
          <w:rFonts w:hint="eastAsia" w:ascii="宋体" w:hAnsi="宋体" w:cs="宋体"/>
          <w:bCs/>
          <w:kern w:val="0"/>
          <w:szCs w:val="21"/>
          <w:highlight w:val="none"/>
          <w:lang w:eastAsia="zh-CN"/>
        </w:rPr>
        <w:t>企业营业执照、认证产品范围、</w:t>
      </w:r>
      <w:r>
        <w:rPr>
          <w:rFonts w:hint="eastAsia" w:ascii="宋体" w:hAnsi="宋体" w:cs="宋体"/>
          <w:bCs/>
          <w:kern w:val="0"/>
          <w:szCs w:val="21"/>
          <w:highlight w:val="none"/>
          <w:lang w:val="en-US" w:eastAsia="zh-CN"/>
        </w:rPr>
        <w:t>企业</w:t>
      </w:r>
      <w:r>
        <w:rPr>
          <w:rFonts w:hint="eastAsia" w:ascii="宋体" w:hAnsi="宋体" w:cs="宋体"/>
          <w:bCs/>
          <w:kern w:val="0"/>
          <w:szCs w:val="21"/>
          <w:highlight w:val="none"/>
        </w:rPr>
        <w:t>管理者代表、组织结构</w:t>
      </w:r>
      <w:r>
        <w:rPr>
          <w:rFonts w:hint="eastAsia" w:ascii="宋体" w:hAnsi="宋体" w:cs="宋体"/>
          <w:bCs/>
          <w:kern w:val="0"/>
          <w:szCs w:val="21"/>
          <w:highlight w:val="none"/>
          <w:lang w:eastAsia="zh-CN"/>
        </w:rPr>
        <w:t>等</w:t>
      </w:r>
      <w:r>
        <w:rPr>
          <w:rFonts w:hint="eastAsia" w:ascii="宋体" w:hAnsi="宋体" w:cs="宋体"/>
          <w:bCs/>
          <w:kern w:val="0"/>
          <w:szCs w:val="21"/>
          <w:highlight w:val="none"/>
        </w:rPr>
        <w:t>没</w:t>
      </w:r>
      <w:r>
        <w:rPr>
          <w:rFonts w:hint="eastAsia" w:ascii="宋体" w:hAnsi="宋体" w:cs="宋体"/>
          <w:bCs/>
          <w:kern w:val="0"/>
          <w:szCs w:val="21"/>
          <w:highlight w:val="none"/>
          <w:lang w:eastAsia="zh-CN"/>
        </w:rPr>
        <w:t>均</w:t>
      </w:r>
      <w:r>
        <w:rPr>
          <w:rFonts w:hint="eastAsia" w:ascii="宋体" w:hAnsi="宋体" w:cs="宋体"/>
          <w:bCs/>
          <w:kern w:val="0"/>
          <w:szCs w:val="21"/>
          <w:highlight w:val="none"/>
        </w:rPr>
        <w:t>有变化</w:t>
      </w:r>
      <w:r>
        <w:rPr>
          <w:rFonts w:hint="eastAsia" w:ascii="宋体" w:hAnsi="宋体" w:cs="宋体"/>
          <w:bCs/>
          <w:kern w:val="0"/>
          <w:szCs w:val="21"/>
          <w:highlight w:val="none"/>
          <w:lang w:eastAsia="zh-CN"/>
        </w:rPr>
        <w:t>。</w:t>
      </w:r>
      <w:r>
        <w:rPr>
          <w:rFonts w:hint="eastAsia" w:ascii="宋体" w:hAnsi="宋体"/>
          <w:bCs/>
          <w:szCs w:val="21"/>
          <w:lang w:eastAsia="zh-CN"/>
        </w:rPr>
        <w:t>。</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highlight w:val="none"/>
        </w:rPr>
        <w:t>9.标志的使用和（或）任何其他对认证资格引用</w:t>
      </w:r>
      <w:r>
        <w:rPr>
          <w:rFonts w:ascii="Times New Roman" w:hAnsi="Times New Roman" w:cs="Times New Roman"/>
          <w:b/>
          <w:bCs/>
          <w:kern w:val="0"/>
          <w:szCs w:val="21"/>
        </w:rPr>
        <w:t>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（1）公司对标志的使用，符合相关标准和规定；</w:t>
      </w:r>
    </w:p>
    <w:p>
      <w:pPr>
        <w:widowControl/>
        <w:spacing w:line="360" w:lineRule="auto"/>
        <w:ind w:firstLine="420" w:firstLineChars="200"/>
        <w:rPr>
          <w:rFonts w:hint="default"/>
          <w:bCs/>
          <w:szCs w:val="21"/>
          <w:lang w:val="en-US" w:eastAsia="zh-CN"/>
        </w:rPr>
      </w:pPr>
      <w:r>
        <w:rPr>
          <w:rFonts w:ascii="Times New Roman" w:hAnsi="Times New Roman" w:cs="Times New Roman"/>
          <w:bCs/>
          <w:kern w:val="0"/>
          <w:szCs w:val="21"/>
        </w:rPr>
        <w:t>（2）测量管理体系认证证书用于：</w:t>
      </w:r>
      <w:r>
        <w:rPr>
          <w:rFonts w:hint="eastAsia" w:ascii="宋体" w:hAnsi="宋体" w:cs="宋体"/>
          <w:bCs/>
          <w:kern w:val="0"/>
          <w:szCs w:val="21"/>
        </w:rPr>
        <w:t>企业用于标招投加分</w:t>
      </w:r>
      <w:r>
        <w:rPr>
          <w:rFonts w:hint="eastAsia" w:ascii="宋体" w:hAnsi="宋体" w:cs="宋体"/>
          <w:bCs/>
          <w:kern w:val="0"/>
          <w:szCs w:val="21"/>
          <w:lang w:eastAsia="zh-CN"/>
        </w:rPr>
        <w:t>等单位。</w:t>
      </w:r>
    </w:p>
    <w:p>
      <w:pPr>
        <w:widowControl/>
        <w:spacing w:line="360" w:lineRule="auto"/>
        <w:ind w:firstLine="630" w:firstLineChars="300"/>
        <w:rPr>
          <w:rFonts w:ascii="Times New Roman" w:hAnsi="Times New Roman" w:cs="Times New Roman"/>
          <w:bCs/>
          <w:kern w:val="0"/>
          <w:szCs w:val="21"/>
        </w:rPr>
      </w:pPr>
      <w:r>
        <w:rPr>
          <w:bCs/>
          <w:szCs w:val="21"/>
        </w:rPr>
        <w:t>客户二方审核及企业形象广告宣传。</w:t>
      </w:r>
    </w:p>
    <w:p>
      <w:pPr>
        <w:widowControl/>
        <w:spacing w:line="360" w:lineRule="auto"/>
        <w:ind w:firstLine="420" w:firstLineChars="200"/>
        <w:rPr>
          <w:rFonts w:hint="eastAsia" w:ascii="宋体" w:hAnsi="宋体" w:cs="宋体"/>
          <w:bCs/>
          <w:kern w:val="0"/>
          <w:szCs w:val="21"/>
        </w:rPr>
      </w:pPr>
      <w:r>
        <w:rPr>
          <w:rFonts w:ascii="Times New Roman" w:hAnsi="Times New Roman" w:cs="Times New Roman"/>
          <w:bCs/>
          <w:kern w:val="0"/>
          <w:szCs w:val="21"/>
        </w:rPr>
        <w:t>（3）企业进行招投标用。</w:t>
      </w:r>
    </w:p>
    <w:p>
      <w:pPr>
        <w:widowControl/>
        <w:spacing w:line="360" w:lineRule="auto"/>
        <w:rPr>
          <w:rFonts w:hint="eastAsia" w:ascii="宋体" w:hAnsi="宋体" w:cs="宋体"/>
          <w:kern w:val="0"/>
          <w:szCs w:val="21"/>
        </w:rPr>
      </w:pPr>
      <w:r>
        <w:rPr>
          <w:rFonts w:ascii="宋体" w:hAnsi="宋体" w:cs="宋体"/>
          <w:bCs/>
          <w:kern w:val="0"/>
          <w:szCs w:val="21"/>
        </w:rPr>
        <w:t>10.</w:t>
      </w:r>
      <w:r>
        <w:rPr>
          <w:rFonts w:hint="eastAsia" w:ascii="宋体" w:hAnsi="宋体" w:cs="宋体"/>
          <w:kern w:val="0"/>
          <w:szCs w:val="21"/>
        </w:rPr>
        <w:t>本次审核发现一般不符合项1项，未发现严重的或系统性的不符合情况。</w:t>
      </w:r>
    </w:p>
    <w:p>
      <w:pPr>
        <w:spacing w:line="440" w:lineRule="exact"/>
        <w:jc w:val="left"/>
        <w:rPr>
          <w:rFonts w:hint="eastAsia" w:ascii="宋体" w:hAnsi="宋体" w:cs="宋体"/>
          <w:bCs/>
          <w:color w:val="auto"/>
          <w:kern w:val="0"/>
          <w:szCs w:val="21"/>
          <w:highlight w:val="none"/>
        </w:rPr>
      </w:pPr>
      <w:r>
        <w:rPr>
          <w:rFonts w:hint="eastAsia" w:ascii="宋体" w:hAnsi="宋体" w:cs="宋体"/>
          <w:kern w:val="0"/>
          <w:szCs w:val="21"/>
          <w:highlight w:val="none"/>
          <w:lang w:val="en-US" w:eastAsia="zh-CN"/>
        </w:rPr>
        <w:t>10.1</w:t>
      </w:r>
      <w:r>
        <w:rPr>
          <w:rFonts w:hint="eastAsia" w:ascii="宋体" w:hAnsi="宋体" w:cs="宋体"/>
          <w:kern w:val="0"/>
          <w:szCs w:val="21"/>
          <w:lang w:eastAsia="zh-CN"/>
        </w:rPr>
        <w:t>生产部</w:t>
      </w:r>
      <w:r>
        <w:rPr>
          <w:rFonts w:hint="eastAsia" w:ascii="宋体" w:hAnsi="宋体" w:cs="宋体"/>
          <w:kern w:val="0"/>
          <w:szCs w:val="21"/>
        </w:rPr>
        <w:t xml:space="preserve"> </w:t>
      </w:r>
      <w:r>
        <w:rPr>
          <w:rFonts w:hint="eastAsia" w:ascii="宋体" w:hAnsi="宋体" w:cs="宋体"/>
          <w:kern w:val="0"/>
          <w:szCs w:val="21"/>
          <w:lang w:eastAsia="zh-CN"/>
        </w:rPr>
        <w:t>（质检）</w:t>
      </w:r>
      <w:r>
        <w:rPr>
          <w:rFonts w:hint="eastAsia" w:ascii="宋体" w:hAnsi="宋体" w:cs="宋体"/>
          <w:kern w:val="0"/>
          <w:szCs w:val="21"/>
        </w:rPr>
        <w:t xml:space="preserve"> </w:t>
      </w:r>
      <w:r>
        <w:rPr>
          <w:rFonts w:hint="eastAsia" w:ascii="宋体" w:hAnsi="宋体" w:eastAsia="宋体" w:cs="宋体"/>
          <w:sz w:val="21"/>
          <w:szCs w:val="21"/>
          <w:lang w:eastAsia="zh-CN"/>
        </w:rPr>
        <w:t>提供</w:t>
      </w:r>
      <w:r>
        <w:rPr>
          <w:rFonts w:hint="eastAsia" w:ascii="宋体" w:hAnsi="宋体" w:cs="宋体"/>
          <w:sz w:val="21"/>
          <w:szCs w:val="21"/>
          <w:lang w:eastAsia="zh-CN"/>
        </w:rPr>
        <w:t>的“</w:t>
      </w:r>
      <w:r>
        <w:rPr>
          <w:rFonts w:hint="eastAsia" w:ascii="宋体" w:hAnsi="宋体" w:eastAsia="宋体" w:cs="宋体"/>
          <w:sz w:val="21"/>
          <w:szCs w:val="21"/>
        </w:rPr>
        <w:t>测量设备</w:t>
      </w:r>
      <w:r>
        <w:rPr>
          <w:rFonts w:hint="eastAsia" w:ascii="宋体" w:hAnsi="宋体" w:eastAsia="宋体" w:cs="宋体"/>
          <w:sz w:val="21"/>
          <w:szCs w:val="21"/>
          <w:lang w:eastAsia="zh-CN"/>
        </w:rPr>
        <w:t>台账</w:t>
      </w:r>
      <w:r>
        <w:rPr>
          <w:rFonts w:hint="eastAsia" w:ascii="宋体" w:hAnsi="宋体" w:cs="宋体"/>
          <w:sz w:val="21"/>
          <w:szCs w:val="21"/>
          <w:lang w:eastAsia="zh-CN"/>
        </w:rPr>
        <w:t>”</w:t>
      </w:r>
      <w:r>
        <w:rPr>
          <w:rFonts w:hint="eastAsia" w:ascii="宋体" w:hAnsi="宋体" w:eastAsia="宋体" w:cs="宋体"/>
          <w:sz w:val="21"/>
          <w:szCs w:val="21"/>
          <w:lang w:eastAsia="zh-CN"/>
        </w:rPr>
        <w:t>中测量设备的测量范围</w:t>
      </w:r>
      <w:r>
        <w:rPr>
          <w:rFonts w:hint="eastAsia" w:ascii="宋体" w:hAnsi="宋体" w:cs="宋体"/>
          <w:kern w:val="0"/>
          <w:szCs w:val="21"/>
          <w:lang w:eastAsia="zh-CN"/>
        </w:rPr>
        <w:t>、精度等级等信息描述不正确</w:t>
      </w:r>
      <w:r>
        <w:rPr>
          <w:rFonts w:hint="eastAsia" w:ascii="宋体" w:hAnsi="宋体" w:cs="宋体"/>
          <w:kern w:val="0"/>
          <w:szCs w:val="21"/>
          <w:lang w:val="en-US" w:eastAsia="zh-CN"/>
        </w:rPr>
        <w:t xml:space="preserve"> </w:t>
      </w:r>
      <w:r>
        <w:rPr>
          <w:rFonts w:hint="eastAsia" w:ascii="宋体" w:hAnsi="宋体" w:cs="宋体"/>
          <w:kern w:val="0"/>
          <w:szCs w:val="21"/>
          <w:lang w:eastAsia="zh-CN"/>
        </w:rPr>
        <w:t>。</w:t>
      </w:r>
      <w:r>
        <w:rPr>
          <w:rFonts w:hint="eastAsia" w:ascii="宋体" w:hAnsi="宋体"/>
          <w:szCs w:val="21"/>
        </w:rPr>
        <w:t>不符合GB/T19022-2003  6.</w:t>
      </w:r>
      <w:r>
        <w:rPr>
          <w:rFonts w:hint="eastAsia" w:ascii="宋体" w:hAnsi="宋体"/>
          <w:szCs w:val="21"/>
          <w:lang w:val="en-US" w:eastAsia="zh-CN"/>
        </w:rPr>
        <w:t>3.1</w:t>
      </w:r>
      <w:r>
        <w:rPr>
          <w:rFonts w:hint="eastAsia" w:ascii="宋体" w:hAnsi="宋体"/>
          <w:szCs w:val="21"/>
        </w:rPr>
        <w:t>条款</w:t>
      </w:r>
      <w:r>
        <w:rPr>
          <w:rFonts w:hint="eastAsia" w:ascii="宋体" w:hAnsi="宋体"/>
          <w:szCs w:val="21"/>
          <w:lang w:eastAsia="zh-CN"/>
        </w:rPr>
        <w:t>测量设备</w:t>
      </w:r>
      <w:r>
        <w:rPr>
          <w:rFonts w:hint="eastAsia" w:ascii="宋体" w:hAnsi="宋体"/>
          <w:szCs w:val="21"/>
        </w:rPr>
        <w:t>的规定要求。</w:t>
      </w:r>
      <w:r>
        <w:rPr>
          <w:rFonts w:hint="eastAsia" w:ascii="宋体" w:hAnsi="宋体" w:cs="宋体"/>
          <w:bCs/>
          <w:color w:val="auto"/>
          <w:kern w:val="0"/>
          <w:szCs w:val="21"/>
          <w:highlight w:val="none"/>
        </w:rPr>
        <w:t>属于次要不符合项。</w:t>
      </w:r>
    </w:p>
    <w:p>
      <w:pPr>
        <w:spacing w:line="360" w:lineRule="auto"/>
        <w:ind w:firstLine="420" w:firstLineChars="200"/>
        <w:rPr>
          <w:rFonts w:hint="eastAsia" w:ascii="宋体" w:hAnsi="宋体"/>
          <w:color w:val="auto"/>
          <w:szCs w:val="21"/>
          <w:highlight w:val="none"/>
          <w:u w:val="none"/>
          <w:lang w:val="en-US" w:eastAsia="zh-CN"/>
        </w:rPr>
      </w:pPr>
      <w:r>
        <w:rPr>
          <w:rFonts w:hint="eastAsia" w:ascii="宋体" w:hAnsi="宋体"/>
          <w:color w:val="auto"/>
          <w:szCs w:val="21"/>
          <w:highlight w:val="none"/>
          <w:u w:val="none"/>
          <w:lang w:val="en-US" w:eastAsia="zh-CN"/>
        </w:rPr>
        <w:t>针对上述1项次要不符合项，企业制定了整改措施并已落实，审核组验证有效。</w:t>
      </w:r>
    </w:p>
    <w:p>
      <w:pPr>
        <w:spacing w:line="360" w:lineRule="auto"/>
        <w:rPr>
          <w:rFonts w:hint="eastAsia" w:ascii="宋体" w:hAnsi="宋体" w:eastAsia="宋体" w:cs="宋体"/>
          <w:b w:val="0"/>
          <w:bCs/>
          <w:kern w:val="0"/>
          <w:szCs w:val="21"/>
          <w:highlight w:val="none"/>
          <w:lang w:eastAsia="zh-CN"/>
        </w:rPr>
      </w:pPr>
      <w:r>
        <w:rPr>
          <w:rFonts w:ascii="宋体" w:hAnsi="宋体" w:cs="宋体"/>
          <w:b w:val="0"/>
          <w:bCs/>
          <w:kern w:val="0"/>
          <w:szCs w:val="21"/>
          <w:highlight w:val="none"/>
        </w:rPr>
        <w:t>11</w:t>
      </w:r>
      <w:r>
        <w:rPr>
          <w:rFonts w:hint="eastAsia" w:ascii="宋体" w:hAnsi="宋体" w:cs="宋体"/>
          <w:b w:val="0"/>
          <w:bCs/>
          <w:kern w:val="0"/>
          <w:szCs w:val="21"/>
          <w:highlight w:val="none"/>
          <w:lang w:val="en-US" w:eastAsia="zh-CN"/>
        </w:rPr>
        <w:t>.</w:t>
      </w:r>
      <w:r>
        <w:rPr>
          <w:rFonts w:hint="eastAsia" w:ascii="宋体" w:hAnsi="宋体" w:cs="宋体"/>
          <w:b w:val="0"/>
          <w:bCs/>
          <w:kern w:val="0"/>
          <w:szCs w:val="21"/>
          <w:highlight w:val="none"/>
        </w:rPr>
        <w:t>本企业为非重点用能单位，</w:t>
      </w:r>
      <w:r>
        <w:rPr>
          <w:rFonts w:ascii="Times New Roman" w:hAnsi="Times New Roman" w:cs="Times New Roman"/>
          <w:b w:val="0"/>
          <w:bCs/>
          <w:kern w:val="0"/>
          <w:szCs w:val="21"/>
          <w:highlight w:val="none"/>
        </w:rPr>
        <w:t>能耗主要是生产用电</w:t>
      </w:r>
      <w:r>
        <w:rPr>
          <w:rFonts w:hint="eastAsia" w:ascii="Times New Roman" w:hAnsi="Times New Roman" w:cs="Times New Roman"/>
          <w:b w:val="0"/>
          <w:bCs/>
          <w:kern w:val="0"/>
          <w:szCs w:val="21"/>
          <w:highlight w:val="none"/>
          <w:lang w:eastAsia="zh-CN"/>
        </w:rPr>
        <w:t>、水，、</w:t>
      </w:r>
      <w:r>
        <w:rPr>
          <w:rFonts w:hint="eastAsia" w:ascii="宋体" w:hAnsi="宋体" w:cs="宋体"/>
          <w:b w:val="0"/>
          <w:bCs/>
          <w:kern w:val="0"/>
          <w:szCs w:val="21"/>
          <w:highlight w:val="none"/>
        </w:rPr>
        <w:t>企业</w:t>
      </w:r>
      <w:r>
        <w:rPr>
          <w:rFonts w:hint="eastAsia" w:ascii="宋体" w:hAnsi="宋体" w:cs="宋体"/>
          <w:b w:val="0"/>
          <w:bCs/>
          <w:kern w:val="0"/>
          <w:szCs w:val="21"/>
          <w:highlight w:val="none"/>
          <w:lang w:val="en-US" w:eastAsia="zh-CN"/>
        </w:rPr>
        <w:t>2021年1月至12月，</w:t>
      </w:r>
      <w:r>
        <w:rPr>
          <w:rFonts w:hint="eastAsia" w:ascii="宋体" w:hAnsi="宋体" w:cs="宋体"/>
          <w:b w:val="0"/>
          <w:bCs/>
          <w:kern w:val="0"/>
          <w:szCs w:val="21"/>
          <w:highlight w:val="none"/>
        </w:rPr>
        <w:t>耗能为</w:t>
      </w:r>
      <w:r>
        <w:rPr>
          <w:rFonts w:hint="eastAsia" w:ascii="宋体" w:hAnsi="宋体" w:cs="宋体"/>
          <w:b w:val="0"/>
          <w:bCs/>
          <w:kern w:val="0"/>
          <w:szCs w:val="21"/>
          <w:highlight w:val="none"/>
          <w:lang w:val="en-US" w:eastAsia="zh-CN"/>
        </w:rPr>
        <w:t>2.33</w:t>
      </w:r>
      <w:r>
        <w:rPr>
          <w:rFonts w:hint="eastAsia" w:ascii="宋体" w:hAnsi="宋体" w:cs="宋体"/>
          <w:b w:val="0"/>
          <w:bCs/>
          <w:kern w:val="0"/>
          <w:szCs w:val="21"/>
          <w:highlight w:val="none"/>
        </w:rPr>
        <w:t>吨标煤</w:t>
      </w:r>
      <w:r>
        <w:rPr>
          <w:rFonts w:hint="eastAsia" w:ascii="宋体" w:hAnsi="宋体" w:cs="宋体"/>
          <w:b w:val="0"/>
          <w:bCs/>
          <w:color w:val="auto"/>
          <w:kern w:val="0"/>
          <w:szCs w:val="21"/>
          <w:highlight w:val="none"/>
        </w:rPr>
        <w:t>，</w:t>
      </w:r>
      <w:r>
        <w:rPr>
          <w:rFonts w:hint="eastAsia" w:ascii="宋体" w:hAnsi="宋体"/>
          <w:b w:val="0"/>
          <w:bCs/>
          <w:color w:val="auto"/>
          <w:szCs w:val="21"/>
          <w:highlight w:val="none"/>
        </w:rPr>
        <w:t>企业</w:t>
      </w:r>
      <w:r>
        <w:rPr>
          <w:rFonts w:ascii="宋体" w:hAnsi="宋体"/>
          <w:b w:val="0"/>
          <w:bCs/>
          <w:color w:val="auto"/>
          <w:szCs w:val="21"/>
          <w:highlight w:val="none"/>
        </w:rPr>
        <w:t>的能源计</w:t>
      </w:r>
      <w:r>
        <w:rPr>
          <w:rFonts w:ascii="宋体" w:hAnsi="宋体"/>
          <w:b w:val="0"/>
          <w:bCs/>
          <w:szCs w:val="21"/>
          <w:highlight w:val="none"/>
        </w:rPr>
        <w:t>量器具准确度等级</w:t>
      </w:r>
      <w:r>
        <w:rPr>
          <w:rFonts w:hint="eastAsia" w:ascii="宋体" w:hAnsi="宋体"/>
          <w:b w:val="0"/>
          <w:bCs/>
          <w:szCs w:val="21"/>
          <w:highlight w:val="none"/>
        </w:rPr>
        <w:t>：</w:t>
      </w:r>
      <w:r>
        <w:rPr>
          <w:rFonts w:hint="eastAsia" w:ascii="宋体" w:hAnsi="宋体"/>
          <w:b w:val="0"/>
          <w:bCs/>
          <w:szCs w:val="21"/>
          <w:highlight w:val="none"/>
          <w:lang w:val="en-US" w:eastAsia="zh-CN"/>
        </w:rPr>
        <w:t>2.0</w:t>
      </w:r>
      <w:r>
        <w:rPr>
          <w:rFonts w:hint="eastAsia"/>
          <w:b w:val="0"/>
          <w:bCs/>
          <w:szCs w:val="21"/>
          <w:highlight w:val="none"/>
        </w:rPr>
        <w:t>级的三相</w:t>
      </w:r>
      <w:r>
        <w:rPr>
          <w:rFonts w:hint="eastAsia"/>
          <w:b w:val="0"/>
          <w:bCs/>
          <w:szCs w:val="21"/>
          <w:highlight w:val="none"/>
          <w:lang w:eastAsia="zh-CN"/>
        </w:rPr>
        <w:t>四</w:t>
      </w:r>
      <w:r>
        <w:rPr>
          <w:rFonts w:hint="eastAsia"/>
          <w:b w:val="0"/>
          <w:bCs/>
          <w:szCs w:val="21"/>
          <w:highlight w:val="none"/>
        </w:rPr>
        <w:t>线电能表</w:t>
      </w:r>
      <w:r>
        <w:rPr>
          <w:rFonts w:hint="eastAsia"/>
          <w:b w:val="0"/>
          <w:bCs/>
          <w:szCs w:val="21"/>
          <w:highlight w:val="none"/>
          <w:lang w:val="en-US" w:eastAsia="zh-CN"/>
        </w:rPr>
        <w:t>1块，</w:t>
      </w:r>
      <w:r>
        <w:rPr>
          <w:rFonts w:hint="eastAsia" w:ascii="宋体" w:hAnsi="宋体"/>
          <w:b w:val="0"/>
          <w:bCs/>
          <w:szCs w:val="21"/>
          <w:highlight w:val="none"/>
          <w:lang w:val="en-US" w:eastAsia="zh-CN"/>
        </w:rPr>
        <w:t>2.5</w:t>
      </w:r>
      <w:r>
        <w:rPr>
          <w:rFonts w:hint="eastAsia"/>
          <w:b w:val="0"/>
          <w:bCs/>
          <w:szCs w:val="21"/>
          <w:highlight w:val="none"/>
        </w:rPr>
        <w:t>级</w:t>
      </w:r>
      <w:r>
        <w:rPr>
          <w:rFonts w:hint="eastAsia"/>
          <w:b w:val="0"/>
          <w:bCs/>
          <w:szCs w:val="21"/>
          <w:highlight w:val="none"/>
          <w:lang w:eastAsia="zh-CN"/>
        </w:rPr>
        <w:t>水表</w:t>
      </w:r>
      <w:r>
        <w:rPr>
          <w:rFonts w:hint="eastAsia"/>
          <w:b w:val="0"/>
          <w:bCs/>
          <w:szCs w:val="21"/>
          <w:highlight w:val="none"/>
          <w:lang w:val="en-US" w:eastAsia="zh-CN"/>
        </w:rPr>
        <w:t>1块。</w:t>
      </w:r>
      <w:r>
        <w:rPr>
          <w:rFonts w:hint="eastAsia" w:ascii="宋体" w:hAnsi="宋体" w:eastAsia="宋体" w:cs="宋体"/>
          <w:b w:val="0"/>
          <w:bCs/>
          <w:kern w:val="0"/>
          <w:szCs w:val="21"/>
          <w:highlight w:val="none"/>
        </w:rPr>
        <w:t>满足GB17167标准4.3.8表4的</w:t>
      </w:r>
      <w:r>
        <w:rPr>
          <w:rFonts w:hint="eastAsia" w:ascii="宋体" w:hAnsi="宋体" w:eastAsia="宋体" w:cs="宋体"/>
          <w:b w:val="0"/>
          <w:bCs/>
          <w:kern w:val="0"/>
          <w:szCs w:val="21"/>
          <w:highlight w:val="none"/>
          <w:lang w:eastAsia="zh-CN"/>
        </w:rPr>
        <w:t>标准</w:t>
      </w:r>
      <w:r>
        <w:rPr>
          <w:rFonts w:hint="eastAsia" w:ascii="宋体" w:hAnsi="宋体" w:eastAsia="宋体" w:cs="宋体"/>
          <w:b w:val="0"/>
          <w:bCs/>
          <w:kern w:val="0"/>
          <w:szCs w:val="21"/>
          <w:highlight w:val="none"/>
        </w:rPr>
        <w:t>要求</w:t>
      </w:r>
      <w:r>
        <w:rPr>
          <w:rFonts w:hint="eastAsia" w:ascii="宋体" w:hAnsi="宋体" w:eastAsia="宋体" w:cs="宋体"/>
          <w:b w:val="0"/>
          <w:bCs/>
          <w:kern w:val="0"/>
          <w:szCs w:val="21"/>
          <w:highlight w:val="none"/>
          <w:lang w:eastAsia="zh-CN"/>
        </w:rPr>
        <w:t>。</w:t>
      </w:r>
    </w:p>
    <w:p>
      <w:pPr>
        <w:spacing w:before="240" w:after="240" w:line="360" w:lineRule="auto"/>
        <w:rPr>
          <w:rFonts w:ascii="宋体" w:cs="宋体"/>
          <w:b/>
          <w:bCs/>
          <w:kern w:val="0"/>
          <w:szCs w:val="21"/>
          <w:highlight w:val="none"/>
        </w:rPr>
      </w:pPr>
      <w:r>
        <w:rPr>
          <w:rFonts w:hint="eastAsia" w:ascii="宋体" w:hAnsi="宋体" w:cs="宋体"/>
          <w:b/>
          <w:bCs/>
          <w:kern w:val="0"/>
          <w:szCs w:val="21"/>
          <w:highlight w:val="none"/>
        </w:rPr>
        <w:t>二、监督审核结论意见</w:t>
      </w:r>
      <w:r>
        <w:rPr>
          <w:rFonts w:ascii="宋体" w:hAnsi="宋体" w:cs="宋体"/>
          <w:b/>
          <w:bCs/>
          <w:kern w:val="0"/>
          <w:szCs w:val="21"/>
          <w:highlight w:val="none"/>
        </w:rPr>
        <w:t>(</w:t>
      </w:r>
      <w:r>
        <w:rPr>
          <w:rFonts w:hint="eastAsia" w:ascii="宋体" w:hAnsi="宋体" w:cs="宋体"/>
          <w:b/>
          <w:bCs/>
          <w:kern w:val="0"/>
          <w:szCs w:val="21"/>
          <w:highlight w:val="none"/>
        </w:rPr>
        <w:t>含需要说明的事项</w:t>
      </w:r>
      <w:r>
        <w:rPr>
          <w:rFonts w:ascii="宋体" w:hAnsi="宋体" w:cs="宋体"/>
          <w:b/>
          <w:bCs/>
          <w:kern w:val="0"/>
          <w:szCs w:val="21"/>
          <w:highlight w:val="none"/>
        </w:rPr>
        <w:t xml:space="preserve">): </w:t>
      </w:r>
    </w:p>
    <w:p>
      <w:pPr>
        <w:widowControl/>
        <w:spacing w:line="360" w:lineRule="auto"/>
        <w:ind w:firstLine="420" w:firstLineChars="200"/>
        <w:jc w:val="left"/>
        <w:rPr>
          <w:rFonts w:ascii="宋体" w:cs="宋体"/>
          <w:bCs/>
          <w:kern w:val="0"/>
          <w:szCs w:val="21"/>
        </w:rPr>
      </w:pPr>
      <w:r>
        <w:rPr>
          <w:rFonts w:hint="eastAsia" w:ascii="宋体" w:hAnsi="宋体" w:cs="宋体"/>
          <w:bCs/>
          <w:color w:val="auto"/>
          <w:kern w:val="0"/>
          <w:szCs w:val="21"/>
        </w:rPr>
        <w:t>通过</w:t>
      </w:r>
      <w:r>
        <w:rPr>
          <w:rFonts w:ascii="宋体" w:hAnsi="宋体" w:cs="宋体"/>
          <w:bCs/>
          <w:color w:val="auto"/>
          <w:kern w:val="0"/>
          <w:szCs w:val="21"/>
        </w:rPr>
        <w:t>20</w:t>
      </w:r>
      <w:r>
        <w:rPr>
          <w:rFonts w:hint="eastAsia" w:ascii="宋体" w:hAnsi="宋体" w:cs="宋体"/>
          <w:bCs/>
          <w:color w:val="auto"/>
          <w:kern w:val="0"/>
          <w:szCs w:val="21"/>
          <w:lang w:val="en-US" w:eastAsia="zh-CN"/>
        </w:rPr>
        <w:t>22</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04</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19日上午-04月19日下午</w:t>
      </w:r>
      <w:r>
        <w:rPr>
          <w:rFonts w:hint="eastAsia" w:ascii="宋体" w:hAnsi="宋体" w:cs="宋体"/>
          <w:bCs/>
          <w:color w:val="auto"/>
          <w:kern w:val="0"/>
          <w:szCs w:val="21"/>
        </w:rPr>
        <w:t>，对</w:t>
      </w:r>
      <w:r>
        <w:rPr>
          <w:rFonts w:hint="eastAsia" w:ascii="宋体" w:hAnsi="宋体"/>
          <w:color w:val="auto"/>
          <w:szCs w:val="21"/>
          <w:lang w:eastAsia="zh-CN"/>
        </w:rPr>
        <w:t>淄博海源电子科技有限公司</w:t>
      </w:r>
      <w:r>
        <w:rPr>
          <w:rFonts w:hint="eastAsia" w:ascii="宋体" w:hAnsi="宋体"/>
          <w:color w:val="auto"/>
          <w:szCs w:val="21"/>
          <w:lang w:val="en-US" w:eastAsia="zh-CN"/>
        </w:rPr>
        <w:t>,</w:t>
      </w:r>
      <w:r>
        <w:rPr>
          <w:rFonts w:hint="eastAsia" w:ascii="宋体" w:hAnsi="宋体" w:cs="宋体"/>
          <w:bCs/>
          <w:color w:val="auto"/>
          <w:kern w:val="0"/>
          <w:szCs w:val="21"/>
        </w:rPr>
        <w:t>测量管理</w:t>
      </w:r>
      <w:r>
        <w:rPr>
          <w:rFonts w:hint="eastAsia" w:ascii="宋体" w:hAnsi="宋体" w:cs="宋体"/>
          <w:bCs/>
          <w:color w:val="auto"/>
          <w:kern w:val="0"/>
          <w:szCs w:val="21"/>
          <w:lang w:eastAsia="zh-CN"/>
        </w:rPr>
        <w:t>体系远程</w:t>
      </w:r>
      <w:r>
        <w:rPr>
          <w:rFonts w:hint="eastAsia" w:ascii="宋体" w:hAnsi="宋体" w:cs="宋体"/>
          <w:bCs/>
          <w:color w:val="auto"/>
          <w:kern w:val="0"/>
          <w:szCs w:val="21"/>
        </w:rPr>
        <w:t>监督审核，验证了公司在测量管理体系</w:t>
      </w:r>
      <w:r>
        <w:rPr>
          <w:rFonts w:hint="eastAsia" w:ascii="宋体" w:hAnsi="宋体" w:cs="宋体"/>
          <w:bCs/>
          <w:color w:val="auto"/>
          <w:kern w:val="0"/>
          <w:szCs w:val="21"/>
          <w:lang w:eastAsia="zh-CN"/>
        </w:rPr>
        <w:t>认证后</w:t>
      </w:r>
      <w:r>
        <w:rPr>
          <w:rFonts w:hint="eastAsia" w:ascii="宋体" w:hAnsi="宋体" w:cs="宋体"/>
          <w:bCs/>
          <w:color w:val="auto"/>
          <w:kern w:val="0"/>
          <w:szCs w:val="21"/>
        </w:rPr>
        <w:t>一年内，</w:t>
      </w:r>
      <w:r>
        <w:rPr>
          <w:rFonts w:hint="eastAsia" w:asciiTheme="minorEastAsia" w:hAnsiTheme="minorEastAsia"/>
          <w:bCs/>
          <w:color w:val="auto"/>
          <w:szCs w:val="21"/>
        </w:rPr>
        <w:t>测量管理体系运作情况，</w:t>
      </w:r>
      <w:r>
        <w:rPr>
          <w:rFonts w:hint="eastAsia" w:ascii="宋体" w:hAnsi="宋体"/>
          <w:color w:val="auto"/>
          <w:szCs w:val="21"/>
        </w:rPr>
        <w:t>公司领导重视体系运行和管理，体系文件得到有效实施，企业管理规范，</w:t>
      </w:r>
      <w:r>
        <w:rPr>
          <w:rFonts w:hint="eastAsia" w:ascii="宋体" w:hAnsi="宋体"/>
          <w:color w:val="auto"/>
          <w:szCs w:val="21"/>
          <w:lang w:eastAsia="zh-CN"/>
        </w:rPr>
        <w:t>未增加关键</w:t>
      </w:r>
      <w:r>
        <w:rPr>
          <w:rFonts w:hint="eastAsia" w:ascii="宋体" w:hAnsi="宋体"/>
          <w:color w:val="auto"/>
          <w:szCs w:val="21"/>
        </w:rPr>
        <w:t>测量过程，</w:t>
      </w:r>
      <w:r>
        <w:rPr>
          <w:rFonts w:hint="eastAsia" w:ascii="宋体" w:hAnsi="宋体"/>
          <w:color w:val="auto"/>
          <w:szCs w:val="21"/>
          <w:lang w:eastAsia="zh-CN"/>
        </w:rPr>
        <w:t>测量</w:t>
      </w:r>
      <w:r>
        <w:rPr>
          <w:rFonts w:hint="eastAsia" w:ascii="宋体" w:hAnsi="宋体"/>
          <w:color w:val="auto"/>
          <w:szCs w:val="21"/>
        </w:rPr>
        <w:t>过程受控、监视方法正确有效，重要测量人员能力受控，测量设备、测量环境、测量软件、测量记录及外部供方管理等各项工作。</w:t>
      </w:r>
      <w:r>
        <w:rPr>
          <w:rFonts w:hint="eastAsia" w:ascii="宋体" w:hAnsi="宋体" w:cs="宋体"/>
          <w:bCs/>
          <w:color w:val="auto"/>
          <w:kern w:val="0"/>
          <w:szCs w:val="21"/>
        </w:rPr>
        <w:t>综上所述，审核组认为，</w:t>
      </w:r>
      <w:r>
        <w:rPr>
          <w:rFonts w:hint="eastAsia" w:ascii="宋体" w:hAnsi="宋体"/>
          <w:color w:val="auto"/>
          <w:szCs w:val="21"/>
          <w:lang w:eastAsia="zh-CN"/>
        </w:rPr>
        <w:t>淄博海源电子科技有限公司</w:t>
      </w:r>
      <w:r>
        <w:rPr>
          <w:rFonts w:hint="eastAsia"/>
          <w:color w:val="auto"/>
          <w:szCs w:val="21"/>
        </w:rPr>
        <w:t>基本</w:t>
      </w:r>
      <w:r>
        <w:rPr>
          <w:rFonts w:hint="eastAsia" w:ascii="宋体" w:hAnsi="宋体" w:cs="宋体"/>
          <w:bCs/>
          <w:color w:val="auto"/>
          <w:kern w:val="0"/>
          <w:szCs w:val="21"/>
        </w:rPr>
        <w:t>符合</w:t>
      </w:r>
      <w:r>
        <w:rPr>
          <w:rFonts w:ascii="宋体" w:hAnsi="宋体" w:cs="宋体"/>
          <w:bCs/>
          <w:color w:val="auto"/>
          <w:kern w:val="0"/>
          <w:szCs w:val="21"/>
        </w:rPr>
        <w:t>GB/T 19022-2003</w:t>
      </w:r>
      <w:r>
        <w:rPr>
          <w:rFonts w:hint="eastAsia" w:ascii="宋体" w:hAnsi="宋体" w:cs="宋体"/>
          <w:bCs/>
          <w:color w:val="auto"/>
          <w:kern w:val="0"/>
          <w:szCs w:val="21"/>
        </w:rPr>
        <w:t>标准要求，对体系运行具有持续的有效性、符合性予以肯定。</w:t>
      </w:r>
      <w:r>
        <w:rPr>
          <w:rFonts w:hint="eastAsia" w:ascii="宋体" w:hAnsi="宋体" w:eastAsia="宋体" w:cs="宋体"/>
          <w:bCs/>
          <w:color w:val="auto"/>
          <w:kern w:val="0"/>
          <w:szCs w:val="21"/>
        </w:rPr>
        <w:t>建议报请北京</w:t>
      </w:r>
      <w:r>
        <w:rPr>
          <w:rFonts w:hint="eastAsia" w:ascii="宋体" w:hAnsi="宋体" w:eastAsia="宋体" w:cs="宋体"/>
          <w:bCs/>
          <w:kern w:val="0"/>
          <w:szCs w:val="21"/>
        </w:rPr>
        <w:t>国标联合认证有限公司批准通过监督审核。</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为了促进支持企业测量管理体系持续提高，提出以下建议：</w:t>
      </w:r>
    </w:p>
    <w:p>
      <w:pPr>
        <w:widowControl/>
        <w:spacing w:line="360" w:lineRule="auto"/>
        <w:rPr>
          <w:rFonts w:hint="eastAsia" w:ascii="Times New Roman" w:hAnsi="Times New Roman" w:cs="Times New Roman" w:eastAsiaTheme="minorEastAsia"/>
          <w:bCs/>
          <w:kern w:val="0"/>
          <w:szCs w:val="21"/>
          <w:lang w:val="en-US" w:eastAsia="zh-CN"/>
        </w:rPr>
      </w:pPr>
      <w:r>
        <w:rPr>
          <w:rFonts w:hint="eastAsia" w:ascii="Times New Roman" w:hAnsi="Times New Roman" w:cs="Times New Roman"/>
          <w:bCs/>
          <w:kern w:val="0"/>
          <w:szCs w:val="21"/>
          <w:lang w:val="en-US" w:eastAsia="zh-CN"/>
        </w:rPr>
        <w:t>1、建议企业内审员参加培训、满足测量体系</w:t>
      </w:r>
      <w:r>
        <w:rPr>
          <w:rFonts w:hint="eastAsia" w:ascii="Times New Roman" w:hAnsi="Times New Roman" w:cs="Times New Roman"/>
          <w:bCs/>
          <w:kern w:val="0"/>
          <w:szCs w:val="21"/>
          <w:lang w:eastAsia="zh-CN"/>
        </w:rPr>
        <w:t>认证工作的需求</w:t>
      </w:r>
    </w:p>
    <w:p>
      <w:pPr>
        <w:widowControl/>
        <w:numPr>
          <w:ilvl w:val="0"/>
          <w:numId w:val="0"/>
        </w:numPr>
        <w:spacing w:line="360" w:lineRule="auto"/>
        <w:rPr>
          <w:rFonts w:ascii="Times New Roman" w:hAnsi="Times New Roman" w:cs="Times New Roman"/>
          <w:bCs/>
          <w:kern w:val="0"/>
          <w:szCs w:val="21"/>
        </w:rPr>
      </w:pPr>
      <w:r>
        <w:rPr>
          <w:rFonts w:hint="eastAsia" w:ascii="Times New Roman" w:hAnsi="Times New Roman" w:cs="Times New Roman"/>
          <w:bCs/>
          <w:kern w:val="0"/>
          <w:szCs w:val="21"/>
          <w:lang w:val="en-US" w:eastAsia="zh-CN"/>
        </w:rPr>
        <w:t>2、</w:t>
      </w:r>
      <w:r>
        <w:rPr>
          <w:rFonts w:ascii="Times New Roman" w:hAnsi="Times New Roman" w:cs="Times New Roman"/>
          <w:bCs/>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numPr>
          <w:ilvl w:val="0"/>
          <w:numId w:val="0"/>
        </w:numPr>
        <w:spacing w:line="360" w:lineRule="auto"/>
        <w:ind w:firstLine="420" w:firstLineChars="200"/>
        <w:rPr>
          <w:rFonts w:ascii="Times New Roman" w:hAnsi="Times New Roman" w:cs="Times New Roman"/>
          <w:bCs/>
          <w:kern w:val="0"/>
          <w:szCs w:val="21"/>
        </w:rPr>
      </w:pPr>
    </w:p>
    <w:p>
      <w:pPr>
        <w:widowControl/>
        <w:spacing w:line="360" w:lineRule="auto"/>
        <w:rPr>
          <w:rFonts w:hint="default" w:ascii="宋体" w:cs="宋体"/>
          <w:b/>
          <w:bCs/>
          <w:kern w:val="0"/>
          <w:szCs w:val="21"/>
          <w:lang w:val="en-US"/>
        </w:rPr>
      </w:pPr>
      <w:r>
        <w:rPr>
          <w:rFonts w:ascii="宋体" w:hAnsi="宋体" w:eastAsia="宋体" w:cs="宋体"/>
          <w:b/>
          <w:bCs/>
          <w:kern w:val="0"/>
          <w:szCs w:val="21"/>
        </w:rPr>
        <w:t>审核组组长（签字）：</w:t>
      </w:r>
      <w:r>
        <w:rPr>
          <w:rFonts w:hint="eastAsia" w:ascii="宋体" w:hAnsi="宋体" w:eastAsia="宋体" w:cs="宋体"/>
          <w:b/>
          <w:bCs/>
          <w:kern w:val="0"/>
          <w:szCs w:val="21"/>
        </w:rPr>
        <w:t xml:space="preserve">  </w:t>
      </w:r>
      <w:r>
        <w:rPr>
          <w:rFonts w:ascii="宋体" w:hAnsi="宋体" w:cs="宋体"/>
          <w:b/>
          <w:bCs/>
          <w:kern w:val="0"/>
          <w:szCs w:val="21"/>
        </w:rPr>
        <w:t xml:space="preserve"> </w:t>
      </w:r>
      <w:r>
        <w:rPr>
          <w:rFonts w:hint="eastAsia" w:ascii="Times New Roman" w:hAnsi="Times New Roman" w:eastAsia="宋体" w:cs="Times New Roman"/>
          <w:b/>
          <w:bCs/>
          <w:sz w:val="21"/>
          <w:szCs w:val="21"/>
          <w:lang w:eastAsia="zh-CN"/>
        </w:rPr>
        <w:drawing>
          <wp:inline distT="0" distB="0" distL="114300" distR="114300">
            <wp:extent cx="819150" cy="435610"/>
            <wp:effectExtent l="0" t="0" r="0" b="2540"/>
            <wp:docPr id="1" name="图片 1" descr="85bc90f7b6220dcee5aa82fda5a7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5bc90f7b6220dcee5aa82fda5a7cf9"/>
                    <pic:cNvPicPr>
                      <a:picLocks noChangeAspect="1"/>
                    </pic:cNvPicPr>
                  </pic:nvPicPr>
                  <pic:blipFill>
                    <a:blip r:embed="rId6"/>
                    <a:srcRect l="12695" t="5128"/>
                    <a:stretch>
                      <a:fillRect/>
                    </a:stretch>
                  </pic:blipFill>
                  <pic:spPr>
                    <a:xfrm>
                      <a:off x="0" y="0"/>
                      <a:ext cx="819150" cy="435610"/>
                    </a:xfrm>
                    <a:prstGeom prst="rect">
                      <a:avLst/>
                    </a:prstGeom>
                    <a:noFill/>
                    <a:ln>
                      <a:noFill/>
                    </a:ln>
                  </pic:spPr>
                </pic:pic>
              </a:graphicData>
            </a:graphic>
          </wp:inline>
        </w:drawing>
      </w:r>
      <w:r>
        <w:rPr>
          <w:rFonts w:ascii="宋体" w:hAnsi="宋体" w:cs="宋体"/>
          <w:b/>
          <w:bCs/>
          <w:kern w:val="0"/>
          <w:szCs w:val="21"/>
        </w:rPr>
        <w:t xml:space="preserve">      </w:t>
      </w:r>
      <w:r>
        <w:rPr>
          <w:rFonts w:hint="eastAsia" w:ascii="宋体" w:hAnsi="宋体" w:cs="宋体"/>
          <w:b/>
          <w:bCs/>
          <w:kern w:val="0"/>
          <w:szCs w:val="21"/>
          <w:lang w:val="en-US" w:eastAsia="zh-CN"/>
        </w:rPr>
        <w:t xml:space="preserve">                  </w:t>
      </w:r>
      <w:r>
        <w:rPr>
          <w:rFonts w:ascii="宋体" w:hAnsi="宋体" w:cs="宋体"/>
          <w:b/>
          <w:bCs/>
          <w:kern w:val="0"/>
          <w:szCs w:val="21"/>
        </w:rPr>
        <w:t xml:space="preserve"> </w:t>
      </w:r>
      <w:r>
        <w:rPr>
          <w:rFonts w:hint="eastAsia" w:ascii="宋体" w:hAnsi="宋体" w:cs="宋体"/>
          <w:b/>
          <w:bCs/>
          <w:kern w:val="0"/>
          <w:szCs w:val="21"/>
        </w:rPr>
        <w:t>日期：</w:t>
      </w:r>
      <w:r>
        <w:rPr>
          <w:rFonts w:hint="eastAsia" w:ascii="宋体" w:hAnsi="宋体" w:cs="宋体"/>
          <w:b/>
          <w:bCs/>
          <w:kern w:val="0"/>
          <w:szCs w:val="21"/>
          <w:lang w:val="en-US" w:eastAsia="zh-CN"/>
        </w:rPr>
        <w:t>2022.04.19</w:t>
      </w:r>
    </w:p>
    <w:p>
      <w:pPr>
        <w:widowControl/>
        <w:spacing w:line="360" w:lineRule="auto"/>
        <w:rPr>
          <w:rFonts w:ascii="宋体" w:hAnsi="宋体" w:eastAsia="宋体" w:cs="宋体"/>
          <w:b/>
          <w:bCs/>
          <w:kern w:val="0"/>
          <w:szCs w:val="21"/>
        </w:rPr>
      </w:pPr>
    </w:p>
    <w:p>
      <w:pPr>
        <w:widowControl/>
        <w:spacing w:line="360" w:lineRule="auto"/>
        <w:rPr>
          <w:rFonts w:hint="default" w:ascii="宋体" w:cs="宋体"/>
          <w:b/>
          <w:bCs/>
          <w:kern w:val="0"/>
          <w:szCs w:val="21"/>
          <w:lang w:val="en-US"/>
        </w:rPr>
      </w:pPr>
      <w:r>
        <w:rPr>
          <w:rFonts w:ascii="宋体" w:hAnsi="宋体" w:eastAsia="宋体" w:cs="宋体"/>
          <w:b/>
          <w:bCs/>
          <w:kern w:val="0"/>
          <w:szCs w:val="21"/>
        </w:rPr>
        <w:t>审核</w:t>
      </w:r>
      <w:r>
        <w:rPr>
          <w:rFonts w:hint="eastAsia" w:ascii="宋体" w:hAnsi="宋体" w:eastAsia="宋体" w:cs="宋体"/>
          <w:b/>
          <w:bCs/>
          <w:kern w:val="0"/>
          <w:szCs w:val="21"/>
          <w:lang w:eastAsia="zh-CN"/>
        </w:rPr>
        <w:t>员</w:t>
      </w:r>
      <w:r>
        <w:rPr>
          <w:rFonts w:ascii="宋体" w:hAnsi="宋体" w:eastAsia="宋体" w:cs="宋体"/>
          <w:b/>
          <w:bCs/>
          <w:kern w:val="0"/>
          <w:szCs w:val="21"/>
        </w:rPr>
        <w:t>（签字）：</w:t>
      </w:r>
      <w:r>
        <w:rPr>
          <w:rFonts w:hint="eastAsia" w:ascii="宋体" w:hAnsi="宋体" w:eastAsia="宋体" w:cs="宋体"/>
          <w:b/>
          <w:bCs/>
          <w:kern w:val="0"/>
          <w:szCs w:val="21"/>
          <w:lang w:val="en-US" w:eastAsia="zh-CN"/>
        </w:rPr>
        <w:t xml:space="preserve">          </w:t>
      </w:r>
      <w:r>
        <w:rPr>
          <w:rFonts w:hint="eastAsia" w:ascii="宋体" w:hAnsi="宋体" w:cs="宋体"/>
          <w:color w:val="000000"/>
          <w:kern w:val="0"/>
          <w:szCs w:val="21"/>
        </w:rPr>
        <w:drawing>
          <wp:inline distT="0" distB="0" distL="114300" distR="114300">
            <wp:extent cx="739140" cy="403860"/>
            <wp:effectExtent l="0" t="0" r="3810" b="15875"/>
            <wp:docPr id="2" name="图片 1" descr="dc6591ee117163b669e3d77c80822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dc6591ee117163b669e3d77c80822f2"/>
                    <pic:cNvPicPr>
                      <a:picLocks noChangeAspect="1"/>
                    </pic:cNvPicPr>
                  </pic:nvPicPr>
                  <pic:blipFill>
                    <a:blip r:embed="rId7"/>
                    <a:srcRect r="2185" b="23003"/>
                    <a:stretch>
                      <a:fillRect/>
                    </a:stretch>
                  </pic:blipFill>
                  <pic:spPr>
                    <a:xfrm>
                      <a:off x="0" y="0"/>
                      <a:ext cx="739140" cy="403860"/>
                    </a:xfrm>
                    <a:prstGeom prst="rect">
                      <a:avLst/>
                    </a:prstGeom>
                    <a:noFill/>
                    <a:ln>
                      <a:noFill/>
                    </a:ln>
                  </pic:spPr>
                </pic:pic>
              </a:graphicData>
            </a:graphic>
          </wp:inline>
        </w:drawing>
      </w:r>
      <w:r>
        <w:rPr>
          <w:rFonts w:hint="eastAsia" w:ascii="宋体" w:hAnsi="宋体" w:eastAsia="宋体" w:cs="宋体"/>
          <w:b/>
          <w:bCs/>
          <w:kern w:val="0"/>
          <w:szCs w:val="21"/>
          <w:lang w:val="en-US" w:eastAsia="zh-CN"/>
        </w:rPr>
        <w:t xml:space="preserve">          </w:t>
      </w:r>
      <w:r>
        <w:rPr>
          <w:rFonts w:hint="eastAsia" w:ascii="宋体" w:hAnsi="宋体" w:cs="宋体"/>
          <w:b/>
          <w:bCs/>
          <w:kern w:val="0"/>
          <w:szCs w:val="21"/>
          <w:lang w:val="en-US" w:eastAsia="zh-CN"/>
        </w:rPr>
        <w:t xml:space="preserve"> </w:t>
      </w:r>
      <w:r>
        <w:rPr>
          <w:rFonts w:ascii="宋体" w:hAnsi="宋体" w:cs="宋体"/>
          <w:b/>
          <w:bCs/>
          <w:kern w:val="0"/>
          <w:szCs w:val="21"/>
        </w:rPr>
        <w:t xml:space="preserve"> </w:t>
      </w:r>
      <w:r>
        <w:rPr>
          <w:rFonts w:hint="eastAsia" w:ascii="宋体" w:hAnsi="宋体" w:cs="宋体"/>
          <w:b/>
          <w:bCs/>
          <w:kern w:val="0"/>
          <w:szCs w:val="21"/>
        </w:rPr>
        <w:t>日期：</w:t>
      </w:r>
      <w:r>
        <w:rPr>
          <w:rFonts w:hint="eastAsia" w:ascii="宋体" w:hAnsi="宋体" w:cs="宋体"/>
          <w:b/>
          <w:bCs/>
          <w:kern w:val="0"/>
          <w:szCs w:val="21"/>
          <w:lang w:val="en-US" w:eastAsia="zh-CN"/>
        </w:rPr>
        <w:t>2022.04.19</w:t>
      </w:r>
    </w:p>
    <w:p>
      <w:pPr>
        <w:widowControl/>
        <w:spacing w:line="360" w:lineRule="auto"/>
        <w:rPr>
          <w:rFonts w:hint="eastAsia" w:ascii="宋体" w:hAnsi="宋体" w:cs="宋体"/>
          <w:b/>
          <w:bCs/>
          <w:kern w:val="0"/>
          <w:szCs w:val="21"/>
        </w:rPr>
      </w:pPr>
      <w:r>
        <w:rPr>
          <w:rFonts w:hint="eastAsia" w:ascii="宋体" w:hAnsi="宋体" w:eastAsia="宋体" w:cs="宋体"/>
          <w:b/>
          <w:bCs/>
          <w:kern w:val="0"/>
          <w:szCs w:val="21"/>
          <w:lang w:val="en-US" w:eastAsia="zh-CN"/>
        </w:rPr>
        <w:t xml:space="preserve">         </w:t>
      </w:r>
    </w:p>
    <w:p>
      <w:pPr>
        <w:widowControl/>
        <w:spacing w:line="360" w:lineRule="auto"/>
        <w:rPr>
          <w:rFonts w:hint="eastAsia" w:ascii="宋体" w:hAnsi="宋体" w:cs="宋体"/>
          <w:b/>
          <w:bCs/>
          <w:kern w:val="0"/>
          <w:szCs w:val="21"/>
        </w:rPr>
      </w:pPr>
    </w:p>
    <w:p>
      <w:pPr>
        <w:widowControl/>
        <w:spacing w:line="360" w:lineRule="auto"/>
        <w:rPr>
          <w:rFonts w:ascii="宋体" w:hAnsi="宋体" w:cs="宋体"/>
          <w:b/>
          <w:bCs/>
          <w:kern w:val="0"/>
          <w:szCs w:val="21"/>
        </w:rPr>
      </w:pPr>
      <w:r>
        <w:rPr>
          <w:rFonts w:hint="eastAsia" w:ascii="宋体" w:hAnsi="宋体" w:cs="宋体"/>
          <w:b/>
          <w:bCs/>
          <w:kern w:val="0"/>
          <w:szCs w:val="21"/>
        </w:rPr>
        <w:t>北京国标联合认证有限公司</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(盖章)                      </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 日期：</w:t>
      </w:r>
    </w:p>
    <w:p>
      <w:pPr>
        <w:widowControl/>
        <w:spacing w:line="360" w:lineRule="auto"/>
        <w:rPr>
          <w:rFonts w:ascii="宋体" w:hAnsi="宋体" w:eastAsia="宋体" w:cs="宋体"/>
          <w:kern w:val="0"/>
          <w:szCs w:val="28"/>
        </w:rPr>
      </w:pPr>
      <w:r>
        <w:rPr>
          <w:rFonts w:ascii="宋体" w:hAnsi="宋体" w:cs="宋体"/>
          <w:b/>
          <w:bCs/>
          <w:kern w:val="0"/>
          <w:szCs w:val="21"/>
        </w:rPr>
        <w:t xml:space="preserve"> </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 w:name="新宋体">
    <w:panose1 w:val="02010609030101010101"/>
    <w:charset w:val="86"/>
    <w:family w:val="modern"/>
    <w:pitch w:val="default"/>
    <w:sig w:usb0="000000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5" w:name="OLE_LINK1"/>
    <w:r>
      <w:drawing>
        <wp:anchor distT="0" distB="0" distL="114300" distR="114300" simplePos="0" relativeHeight="251662336" behindDoc="0" locked="0" layoutInCell="1" allowOverlap="1">
          <wp:simplePos x="0" y="0"/>
          <wp:positionH relativeFrom="column">
            <wp:posOffset>-436245</wp:posOffset>
          </wp:positionH>
          <wp:positionV relativeFrom="paragraph">
            <wp:posOffset>90170</wp:posOffset>
          </wp:positionV>
          <wp:extent cx="481965" cy="485140"/>
          <wp:effectExtent l="0" t="0" r="13335" b="1016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60288;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1312;mso-width-relative:page;mso-height-relative:page;" coordsize="21600,21600">
          <v:path arrowok="t"/>
          <v:fill focussize="0,0"/>
          <v:stroke/>
          <v:imagedata o:title=""/>
          <o:lock v:ext="edit"/>
        </v:line>
      </w:pict>
    </w:r>
    <w:bookmarkEnd w:id="5"/>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6947B5"/>
    <w:rsid w:val="00D62FE0"/>
    <w:rsid w:val="00DB47DA"/>
    <w:rsid w:val="011662FE"/>
    <w:rsid w:val="015B300B"/>
    <w:rsid w:val="019126B1"/>
    <w:rsid w:val="03B215BD"/>
    <w:rsid w:val="03E563DD"/>
    <w:rsid w:val="04811578"/>
    <w:rsid w:val="049D6929"/>
    <w:rsid w:val="05FD5174"/>
    <w:rsid w:val="07125D6B"/>
    <w:rsid w:val="07A22038"/>
    <w:rsid w:val="07F6331D"/>
    <w:rsid w:val="081433FF"/>
    <w:rsid w:val="0866484A"/>
    <w:rsid w:val="08AF38B7"/>
    <w:rsid w:val="08C9577B"/>
    <w:rsid w:val="09851FB9"/>
    <w:rsid w:val="0AE44215"/>
    <w:rsid w:val="0C2D2773"/>
    <w:rsid w:val="0CC1767E"/>
    <w:rsid w:val="0DE1402D"/>
    <w:rsid w:val="0E594764"/>
    <w:rsid w:val="0E5F6936"/>
    <w:rsid w:val="1051458B"/>
    <w:rsid w:val="10FC7F7C"/>
    <w:rsid w:val="11261FFC"/>
    <w:rsid w:val="12730AAA"/>
    <w:rsid w:val="145913C3"/>
    <w:rsid w:val="16010527"/>
    <w:rsid w:val="161D37AD"/>
    <w:rsid w:val="17D03874"/>
    <w:rsid w:val="18314892"/>
    <w:rsid w:val="18895737"/>
    <w:rsid w:val="19826B66"/>
    <w:rsid w:val="1ACA15A5"/>
    <w:rsid w:val="1B701893"/>
    <w:rsid w:val="1B9A71FB"/>
    <w:rsid w:val="1D644926"/>
    <w:rsid w:val="1E0679E2"/>
    <w:rsid w:val="1E507DB8"/>
    <w:rsid w:val="1F30615A"/>
    <w:rsid w:val="1F551C9C"/>
    <w:rsid w:val="1F8B7A86"/>
    <w:rsid w:val="1FB73513"/>
    <w:rsid w:val="20245D89"/>
    <w:rsid w:val="205D4C16"/>
    <w:rsid w:val="21C517C9"/>
    <w:rsid w:val="2253747B"/>
    <w:rsid w:val="228F589D"/>
    <w:rsid w:val="238D590A"/>
    <w:rsid w:val="23A02834"/>
    <w:rsid w:val="23E3439E"/>
    <w:rsid w:val="259C7022"/>
    <w:rsid w:val="25FE255B"/>
    <w:rsid w:val="260F3D59"/>
    <w:rsid w:val="26362CBF"/>
    <w:rsid w:val="26AA361A"/>
    <w:rsid w:val="27816C16"/>
    <w:rsid w:val="27954974"/>
    <w:rsid w:val="29331D87"/>
    <w:rsid w:val="299E6A98"/>
    <w:rsid w:val="2A096538"/>
    <w:rsid w:val="2AB05D19"/>
    <w:rsid w:val="2B030917"/>
    <w:rsid w:val="2B5E0F67"/>
    <w:rsid w:val="2C4F0E75"/>
    <w:rsid w:val="2DB3298D"/>
    <w:rsid w:val="2E0B23F6"/>
    <w:rsid w:val="2E42048A"/>
    <w:rsid w:val="2E9535C2"/>
    <w:rsid w:val="2F3769D8"/>
    <w:rsid w:val="2F98679A"/>
    <w:rsid w:val="2FD947E2"/>
    <w:rsid w:val="30702F46"/>
    <w:rsid w:val="313D2294"/>
    <w:rsid w:val="31647056"/>
    <w:rsid w:val="321A44F5"/>
    <w:rsid w:val="322C5776"/>
    <w:rsid w:val="328D7A02"/>
    <w:rsid w:val="32A1519D"/>
    <w:rsid w:val="33E861D3"/>
    <w:rsid w:val="356A4FB1"/>
    <w:rsid w:val="363F5E2D"/>
    <w:rsid w:val="36BD22BD"/>
    <w:rsid w:val="38086043"/>
    <w:rsid w:val="381744A8"/>
    <w:rsid w:val="382A5B08"/>
    <w:rsid w:val="3868400B"/>
    <w:rsid w:val="38880CD0"/>
    <w:rsid w:val="39571FC5"/>
    <w:rsid w:val="39EA584B"/>
    <w:rsid w:val="3AA660B4"/>
    <w:rsid w:val="3B061D57"/>
    <w:rsid w:val="3BAF7989"/>
    <w:rsid w:val="3F822A8A"/>
    <w:rsid w:val="3F903830"/>
    <w:rsid w:val="408706D3"/>
    <w:rsid w:val="40A07680"/>
    <w:rsid w:val="410648F3"/>
    <w:rsid w:val="42D771AE"/>
    <w:rsid w:val="44C42B5F"/>
    <w:rsid w:val="46184AD1"/>
    <w:rsid w:val="46771B56"/>
    <w:rsid w:val="472C607B"/>
    <w:rsid w:val="47A4153F"/>
    <w:rsid w:val="49F92A91"/>
    <w:rsid w:val="4A126716"/>
    <w:rsid w:val="4ABD7835"/>
    <w:rsid w:val="4BD16FB0"/>
    <w:rsid w:val="4C226659"/>
    <w:rsid w:val="4EC027DE"/>
    <w:rsid w:val="4F822A24"/>
    <w:rsid w:val="4FD32ED3"/>
    <w:rsid w:val="50592BEA"/>
    <w:rsid w:val="505F1232"/>
    <w:rsid w:val="50FA73B2"/>
    <w:rsid w:val="5133471D"/>
    <w:rsid w:val="52977792"/>
    <w:rsid w:val="52D06ACC"/>
    <w:rsid w:val="533D0BB1"/>
    <w:rsid w:val="5348580B"/>
    <w:rsid w:val="53E204EF"/>
    <w:rsid w:val="53FD699A"/>
    <w:rsid w:val="548C10AE"/>
    <w:rsid w:val="553819D4"/>
    <w:rsid w:val="55846126"/>
    <w:rsid w:val="56A52AE7"/>
    <w:rsid w:val="56AF49FF"/>
    <w:rsid w:val="57961E25"/>
    <w:rsid w:val="57EE0A87"/>
    <w:rsid w:val="583773EE"/>
    <w:rsid w:val="589A1673"/>
    <w:rsid w:val="58FA7A57"/>
    <w:rsid w:val="5ACA30F8"/>
    <w:rsid w:val="5AD7341B"/>
    <w:rsid w:val="5B4471AA"/>
    <w:rsid w:val="5B625EC1"/>
    <w:rsid w:val="5BED2E50"/>
    <w:rsid w:val="5C5B583D"/>
    <w:rsid w:val="5CC34A42"/>
    <w:rsid w:val="5D6E5D7B"/>
    <w:rsid w:val="5D8B40D4"/>
    <w:rsid w:val="5E541A14"/>
    <w:rsid w:val="5E862DF5"/>
    <w:rsid w:val="5FEB3DF1"/>
    <w:rsid w:val="60A1694D"/>
    <w:rsid w:val="60AB0032"/>
    <w:rsid w:val="60EE17B6"/>
    <w:rsid w:val="60FF6850"/>
    <w:rsid w:val="612E2E61"/>
    <w:rsid w:val="61880FEB"/>
    <w:rsid w:val="618D05CE"/>
    <w:rsid w:val="623C7376"/>
    <w:rsid w:val="63063EF5"/>
    <w:rsid w:val="63243021"/>
    <w:rsid w:val="63244996"/>
    <w:rsid w:val="63F9408B"/>
    <w:rsid w:val="64815E69"/>
    <w:rsid w:val="64882719"/>
    <w:rsid w:val="64AC5B6B"/>
    <w:rsid w:val="653A413B"/>
    <w:rsid w:val="65B354C1"/>
    <w:rsid w:val="66B707C5"/>
    <w:rsid w:val="66C76995"/>
    <w:rsid w:val="66DA4EE7"/>
    <w:rsid w:val="66DF56BE"/>
    <w:rsid w:val="678058D7"/>
    <w:rsid w:val="69443018"/>
    <w:rsid w:val="695375A4"/>
    <w:rsid w:val="69DD4616"/>
    <w:rsid w:val="69F44D4E"/>
    <w:rsid w:val="6A756F3B"/>
    <w:rsid w:val="6ADD3A80"/>
    <w:rsid w:val="6AE22855"/>
    <w:rsid w:val="6BC61023"/>
    <w:rsid w:val="6DB43658"/>
    <w:rsid w:val="6E4A2C41"/>
    <w:rsid w:val="6EB9032B"/>
    <w:rsid w:val="6F03617D"/>
    <w:rsid w:val="6F843906"/>
    <w:rsid w:val="6FCB3BEE"/>
    <w:rsid w:val="70F168D6"/>
    <w:rsid w:val="711225B3"/>
    <w:rsid w:val="716D6BC3"/>
    <w:rsid w:val="71A75E13"/>
    <w:rsid w:val="72ED6648"/>
    <w:rsid w:val="72FF0D20"/>
    <w:rsid w:val="745D3A76"/>
    <w:rsid w:val="756C46F1"/>
    <w:rsid w:val="75C30245"/>
    <w:rsid w:val="778E4681"/>
    <w:rsid w:val="78091507"/>
    <w:rsid w:val="788D15C7"/>
    <w:rsid w:val="79880B95"/>
    <w:rsid w:val="7BC7517F"/>
    <w:rsid w:val="7BCF61F6"/>
    <w:rsid w:val="7BE74319"/>
    <w:rsid w:val="7C5B3953"/>
    <w:rsid w:val="7CE53BCF"/>
    <w:rsid w:val="7DD0388D"/>
    <w:rsid w:val="7E0A279A"/>
    <w:rsid w:val="7F383F79"/>
    <w:rsid w:val="7F485A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1</TotalTime>
  <ScaleCrop>false</ScaleCrop>
  <LinksUpToDate>false</LinksUpToDate>
  <CharactersWithSpaces>2163</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2022-04-20T03:15:14Z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26855577654D4779AED556AE7C30A6C9</vt:lpwstr>
  </property>
</Properties>
</file>