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17780</wp:posOffset>
            </wp:positionV>
            <wp:extent cx="1590675" cy="1590675"/>
            <wp:effectExtent l="0" t="0" r="9525" b="9525"/>
            <wp:wrapNone/>
            <wp:docPr id="5" name="图片 3"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新LOGO"/>
                    <pic:cNvPicPr>
                      <a:picLocks noChangeAspect="1"/>
                    </pic:cNvPicPr>
                  </pic:nvPicPr>
                  <pic:blipFill>
                    <a:blip r:embed="rId5"/>
                    <a:stretch>
                      <a:fillRect/>
                    </a:stretch>
                  </pic:blipFill>
                  <pic:spPr>
                    <a:xfrm>
                      <a:off x="0" y="0"/>
                      <a:ext cx="1590675" cy="1590675"/>
                    </a:xfrm>
                    <a:prstGeom prst="rect">
                      <a:avLst/>
                    </a:prstGeom>
                    <a:noFill/>
                    <a:ln>
                      <a:noFill/>
                    </a:ln>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hint="eastAsia" w:ascii="宋体" w:hAnsi="宋体" w:eastAsiaTheme="minorEastAsia"/>
          <w:b w:val="0"/>
          <w:bCs w:val="0"/>
          <w:sz w:val="24"/>
          <w:szCs w:val="24"/>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4"/>
          <w:szCs w:val="24"/>
          <w:u w:val="single"/>
          <w:lang w:eastAsia="zh-CN"/>
        </w:rPr>
        <w:t>招远金河石油设备技术开发有限公司</w:t>
      </w:r>
    </w:p>
    <w:p>
      <w:pPr>
        <w:spacing w:line="360" w:lineRule="auto"/>
        <w:ind w:firstLine="960" w:firstLineChars="200"/>
        <w:jc w:val="left"/>
        <w:rPr>
          <w:rFonts w:hint="eastAsia"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0070</w:t>
      </w:r>
      <w:r>
        <w:rPr>
          <w:rFonts w:hint="eastAsia" w:ascii="宋体" w:hAnsi="宋体"/>
          <w:sz w:val="32"/>
          <w:u w:val="single"/>
        </w:rPr>
        <w:t>-2</w:t>
      </w:r>
      <w:r>
        <w:rPr>
          <w:rFonts w:hint="eastAsia" w:ascii="宋体" w:hAnsi="宋体"/>
          <w:sz w:val="32"/>
          <w:u w:val="single"/>
          <w:lang w:val="en-US" w:eastAsia="zh-CN"/>
        </w:rPr>
        <w:t>020</w:t>
      </w:r>
      <w:r>
        <w:rPr>
          <w:rFonts w:hint="eastAsia" w:ascii="宋体" w:hAnsi="宋体"/>
          <w:sz w:val="32"/>
          <w:u w:val="single"/>
        </w:rPr>
        <w:t>-202</w:t>
      </w:r>
      <w:bookmarkEnd w:id="1"/>
      <w:r>
        <w:rPr>
          <w:rFonts w:hint="eastAsia" w:ascii="宋体" w:hAnsi="宋体"/>
          <w:sz w:val="32"/>
          <w:u w:val="single"/>
          <w:lang w:val="en-US" w:eastAsia="zh-CN"/>
        </w:rPr>
        <w:t>2</w:t>
      </w:r>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070</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2</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4020"/>
        <w:gridCol w:w="1650"/>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5"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ascii="宋体" w:hAnsi="宋体" w:cs="宋体"/>
                <w:bCs/>
                <w:kern w:val="0"/>
                <w:szCs w:val="21"/>
              </w:rPr>
              <w:t>企业</w:t>
            </w:r>
            <w:r>
              <w:rPr>
                <w:rFonts w:hint="eastAsia" w:ascii="宋体" w:hAnsi="宋体" w:cs="宋体"/>
                <w:kern w:val="0"/>
                <w:szCs w:val="21"/>
              </w:rPr>
              <w:t>名称</w:t>
            </w:r>
          </w:p>
        </w:tc>
        <w:tc>
          <w:tcPr>
            <w:tcW w:w="4020" w:type="dxa"/>
            <w:vAlign w:val="top"/>
          </w:tcPr>
          <w:p>
            <w:pPr>
              <w:tabs>
                <w:tab w:val="left" w:pos="880"/>
              </w:tabs>
              <w:autoSpaceDE w:val="0"/>
              <w:autoSpaceDN w:val="0"/>
              <w:adjustRightInd w:val="0"/>
              <w:spacing w:before="35" w:line="276" w:lineRule="auto"/>
              <w:ind w:right="161" w:rightChars="0"/>
              <w:rPr>
                <w:rFonts w:hint="eastAsia" w:cs="宋体" w:asciiTheme="minorEastAsia" w:hAnsiTheme="minorEastAsia" w:eastAsiaTheme="minorEastAsia"/>
                <w:kern w:val="0"/>
                <w:sz w:val="21"/>
                <w:szCs w:val="21"/>
                <w:lang w:eastAsia="zh-CN"/>
              </w:rPr>
            </w:pPr>
            <w:r>
              <w:rPr>
                <w:rFonts w:hint="eastAsia" w:eastAsia="宋体"/>
                <w:b/>
                <w:color w:val="000000"/>
                <w:szCs w:val="21"/>
                <w:lang w:eastAsia="zh-CN"/>
              </w:rPr>
              <w:t>招远金河石油设备技术开发有限公司</w:t>
            </w:r>
          </w:p>
        </w:tc>
        <w:tc>
          <w:tcPr>
            <w:tcW w:w="165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ascii="宋体" w:hAnsi="宋体" w:cs="宋体"/>
                <w:kern w:val="0"/>
                <w:szCs w:val="21"/>
              </w:rPr>
              <w:t>企业联系人</w:t>
            </w:r>
          </w:p>
        </w:tc>
        <w:tc>
          <w:tcPr>
            <w:tcW w:w="2339" w:type="dxa"/>
            <w:vAlign w:val="top"/>
          </w:tcPr>
          <w:p>
            <w:pPr>
              <w:tabs>
                <w:tab w:val="left" w:pos="880"/>
              </w:tabs>
              <w:autoSpaceDE w:val="0"/>
              <w:autoSpaceDN w:val="0"/>
              <w:adjustRightInd w:val="0"/>
              <w:spacing w:before="35" w:line="360" w:lineRule="auto"/>
              <w:ind w:right="161" w:rightChars="0" w:firstLine="210" w:firstLineChars="100"/>
              <w:rPr>
                <w:rFonts w:hint="eastAsia" w:cs="宋体" w:asciiTheme="minorEastAsia" w:hAnsiTheme="minorEastAsia" w:eastAsiaTheme="minorEastAsia"/>
                <w:kern w:val="0"/>
                <w:sz w:val="21"/>
                <w:szCs w:val="21"/>
                <w:lang w:val="en-US" w:eastAsia="zh-CN"/>
              </w:rPr>
            </w:pPr>
            <w:r>
              <w:rPr>
                <w:rFonts w:hint="eastAsia" w:ascii="宋体" w:eastAsia="宋体" w:cs="宋体"/>
                <w:kern w:val="0"/>
                <w:szCs w:val="21"/>
                <w:lang w:val="en-US" w:eastAsia="zh-CN"/>
              </w:rPr>
              <w:t>冯伟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65"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ascii="宋体" w:hAnsi="宋体" w:cs="宋体"/>
                <w:kern w:val="0"/>
                <w:szCs w:val="21"/>
              </w:rPr>
              <w:t>认证证书编号</w:t>
            </w:r>
          </w:p>
        </w:tc>
        <w:tc>
          <w:tcPr>
            <w:tcW w:w="4020" w:type="dxa"/>
            <w:vAlign w:val="top"/>
          </w:tcPr>
          <w:p>
            <w:pPr>
              <w:jc w:val="center"/>
              <w:rPr>
                <w:rFonts w:hint="default" w:asciiTheme="minorEastAsia" w:hAnsiTheme="minorEastAsia" w:eastAsiaTheme="minorEastAsia"/>
                <w:sz w:val="21"/>
                <w:szCs w:val="21"/>
                <w:highlight w:val="none"/>
                <w:lang w:val="en-US" w:eastAsia="zh-CN"/>
              </w:rPr>
            </w:pPr>
            <w:r>
              <w:rPr>
                <w:rFonts w:ascii="宋体" w:hAnsi="宋体"/>
              </w:rPr>
              <w:t>ISC</w:t>
            </w:r>
            <w:r>
              <w:rPr>
                <w:rFonts w:hint="eastAsia" w:ascii="宋体" w:hAnsi="宋体"/>
                <w:lang w:val="en-US" w:eastAsia="zh-CN"/>
              </w:rPr>
              <w:t>-</w:t>
            </w:r>
            <w:r>
              <w:rPr>
                <w:rFonts w:ascii="宋体" w:hAnsi="宋体"/>
              </w:rPr>
              <w:t>20</w:t>
            </w:r>
            <w:r>
              <w:rPr>
                <w:rFonts w:hint="eastAsia" w:ascii="宋体" w:hAnsi="宋体"/>
                <w:lang w:val="en-US" w:eastAsia="zh-CN"/>
              </w:rPr>
              <w:t>20</w:t>
            </w:r>
            <w:r>
              <w:rPr>
                <w:rFonts w:ascii="宋体" w:hAnsi="宋体"/>
              </w:rPr>
              <w:t>-</w:t>
            </w:r>
            <w:r>
              <w:rPr>
                <w:rFonts w:hint="eastAsia" w:ascii="宋体" w:hAnsi="宋体"/>
                <w:lang w:val="en-US" w:eastAsia="zh-CN"/>
              </w:rPr>
              <w:t>0722</w:t>
            </w:r>
          </w:p>
        </w:tc>
        <w:tc>
          <w:tcPr>
            <w:tcW w:w="1650" w:type="dxa"/>
            <w:vAlign w:val="top"/>
          </w:tcPr>
          <w:p>
            <w:pPr>
              <w:rPr>
                <w:rFonts w:cs="宋体" w:asciiTheme="minorEastAsia" w:hAnsiTheme="minorEastAsia"/>
                <w:kern w:val="0"/>
                <w:sz w:val="21"/>
                <w:szCs w:val="21"/>
                <w:highlight w:val="none"/>
              </w:rPr>
            </w:pPr>
            <w:r>
              <w:rPr>
                <w:rFonts w:hint="eastAsia" w:ascii="宋体" w:hAnsi="宋体"/>
              </w:rPr>
              <w:t>证书有效期</w:t>
            </w:r>
          </w:p>
        </w:tc>
        <w:tc>
          <w:tcPr>
            <w:tcW w:w="2339" w:type="dxa"/>
            <w:vAlign w:val="top"/>
          </w:tcPr>
          <w:p>
            <w:pPr>
              <w:rPr>
                <w:rFonts w:hint="default" w:cs="宋体" w:asciiTheme="minorEastAsia" w:hAnsiTheme="minorEastAsia" w:eastAsiaTheme="minorEastAsia"/>
                <w:kern w:val="0"/>
                <w:sz w:val="21"/>
                <w:szCs w:val="21"/>
                <w:highlight w:val="none"/>
                <w:lang w:val="en-US" w:eastAsia="zh-CN"/>
              </w:rPr>
            </w:pPr>
            <w:r>
              <w:rPr>
                <w:rFonts w:ascii="宋体" w:hAnsi="宋体"/>
              </w:rPr>
              <w:t>202</w:t>
            </w:r>
            <w:r>
              <w:rPr>
                <w:rFonts w:hint="eastAsia" w:ascii="宋体" w:hAnsi="宋体"/>
                <w:lang w:val="en-US" w:eastAsia="zh-CN"/>
              </w:rPr>
              <w:t>5</w:t>
            </w:r>
            <w:r>
              <w:rPr>
                <w:rFonts w:hint="eastAsia" w:ascii="宋体" w:hAnsi="宋体"/>
              </w:rPr>
              <w:t>年</w:t>
            </w:r>
            <w:r>
              <w:rPr>
                <w:rFonts w:hint="eastAsia" w:ascii="宋体" w:hAnsi="宋体"/>
                <w:lang w:val="en-US" w:eastAsia="zh-CN"/>
              </w:rPr>
              <w:t>05</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28</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ascii="宋体" w:hAnsi="宋体" w:cs="宋体"/>
                <w:kern w:val="0"/>
                <w:szCs w:val="21"/>
              </w:rPr>
              <w:t>监督审核次数</w:t>
            </w:r>
          </w:p>
        </w:tc>
        <w:tc>
          <w:tcPr>
            <w:tcW w:w="4020" w:type="dxa"/>
            <w:vAlign w:val="top"/>
          </w:tcPr>
          <w:p>
            <w:pPr>
              <w:tabs>
                <w:tab w:val="left" w:pos="747"/>
                <w:tab w:val="left" w:pos="880"/>
              </w:tabs>
              <w:autoSpaceDE w:val="0"/>
              <w:autoSpaceDN w:val="0"/>
              <w:adjustRightInd w:val="0"/>
              <w:spacing w:before="35" w:line="276" w:lineRule="auto"/>
              <w:ind w:right="161" w:rightChars="0" w:firstLine="1155" w:firstLineChars="550"/>
              <w:jc w:val="both"/>
              <w:rPr>
                <w:sz w:val="21"/>
                <w:szCs w:val="21"/>
              </w:rPr>
            </w:pPr>
            <w:r>
              <w:rPr>
                <w:rFonts w:hint="eastAsia" w:ascii="宋体" w:cs="宋体"/>
                <w:kern w:val="0"/>
                <w:szCs w:val="21"/>
                <w:lang w:eastAsia="zh-CN"/>
              </w:rPr>
              <w:tab/>
            </w:r>
            <w:r>
              <w:rPr>
                <w:rFonts w:hint="eastAsia" w:ascii="宋体" w:cs="宋体"/>
                <w:kern w:val="0"/>
                <w:szCs w:val="21"/>
                <w:lang w:val="en-US" w:eastAsia="zh-CN"/>
              </w:rPr>
              <w:t xml:space="preserve"> </w:t>
            </w:r>
            <w:r>
              <w:rPr>
                <w:rFonts w:hint="eastAsia" w:ascii="宋体" w:cs="宋体"/>
                <w:kern w:val="0"/>
                <w:szCs w:val="21"/>
                <w:lang w:eastAsia="zh-CN"/>
              </w:rPr>
              <w:tab/>
            </w:r>
            <w:r>
              <w:rPr>
                <w:rFonts w:hint="eastAsia" w:ascii="宋体" w:cs="宋体"/>
                <w:kern w:val="0"/>
                <w:szCs w:val="21"/>
              </w:rPr>
              <w:t>第</w:t>
            </w:r>
            <w:r>
              <w:rPr>
                <w:rFonts w:hint="eastAsia" w:ascii="宋体" w:cs="宋体"/>
                <w:kern w:val="0"/>
                <w:szCs w:val="21"/>
                <w:lang w:eastAsia="zh-CN"/>
              </w:rPr>
              <w:t>二</w:t>
            </w:r>
            <w:r>
              <w:rPr>
                <w:rFonts w:hint="eastAsia" w:ascii="宋体" w:cs="宋体"/>
                <w:kern w:val="0"/>
                <w:szCs w:val="21"/>
              </w:rPr>
              <w:t>次</w:t>
            </w:r>
          </w:p>
        </w:tc>
        <w:tc>
          <w:tcPr>
            <w:tcW w:w="165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339"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eastAsiaTheme="minorEastAsia"/>
                <w:kern w:val="0"/>
                <w:sz w:val="21"/>
                <w:szCs w:val="21"/>
                <w:lang w:val="en-US" w:eastAsia="zh-CN"/>
              </w:rPr>
            </w:pPr>
            <w:r>
              <w:rPr>
                <w:rFonts w:ascii="宋体" w:hAnsi="宋体" w:cs="宋体"/>
                <w:kern w:val="0"/>
                <w:szCs w:val="21"/>
              </w:rPr>
              <w:t>20</w:t>
            </w:r>
            <w:r>
              <w:rPr>
                <w:rFonts w:hint="eastAsia" w:ascii="宋体" w:hAnsi="宋体" w:cs="宋体"/>
                <w:kern w:val="0"/>
                <w:szCs w:val="21"/>
                <w:lang w:val="en-US" w:eastAsia="zh-CN"/>
              </w:rPr>
              <w:t>22</w:t>
            </w:r>
            <w:r>
              <w:rPr>
                <w:rFonts w:hint="eastAsia" w:ascii="宋体" w:hAnsi="宋体" w:cs="宋体"/>
                <w:kern w:val="0"/>
                <w:szCs w:val="21"/>
              </w:rPr>
              <w:t>年</w:t>
            </w:r>
            <w:r>
              <w:rPr>
                <w:rFonts w:hint="eastAsia" w:ascii="宋体" w:hAnsi="宋体" w:cs="宋体"/>
                <w:kern w:val="0"/>
                <w:szCs w:val="21"/>
                <w:lang w:val="en-US" w:eastAsia="zh-CN"/>
              </w:rPr>
              <w:t>4</w:t>
            </w:r>
            <w:r>
              <w:rPr>
                <w:rFonts w:hint="eastAsia" w:ascii="宋体" w:hAnsi="宋体" w:cs="宋体"/>
                <w:kern w:val="0"/>
                <w:szCs w:val="21"/>
              </w:rPr>
              <w:t>月</w:t>
            </w:r>
            <w:r>
              <w:rPr>
                <w:rFonts w:hint="eastAsia" w:ascii="宋体" w:hAnsi="宋体" w:cs="宋体"/>
                <w:kern w:val="0"/>
                <w:szCs w:val="21"/>
                <w:lang w:val="en-US" w:eastAsia="zh-CN"/>
              </w:rPr>
              <w:t>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65" w:type="dxa"/>
            <w:vAlign w:val="top"/>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cs="宋体" w:asciiTheme="minorEastAsia" w:hAnsiTheme="minorEastAsia"/>
                <w:kern w:val="0"/>
                <w:szCs w:val="21"/>
              </w:rPr>
              <w:t>姓名及确认号</w:t>
            </w:r>
          </w:p>
        </w:tc>
        <w:tc>
          <w:tcPr>
            <w:tcW w:w="4020"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spacing w:line="360" w:lineRule="exact"/>
              <w:jc w:val="both"/>
              <w:rPr>
                <w:rFonts w:cs="宋体" w:asciiTheme="minorEastAsia" w:hAnsiTheme="minorEastAsia"/>
                <w:kern w:val="0"/>
                <w:sz w:val="21"/>
                <w:szCs w:val="21"/>
              </w:rPr>
            </w:pPr>
            <w:r>
              <w:rPr>
                <w:rFonts w:hint="eastAsia" w:ascii="宋体" w:hAnsi="宋体" w:eastAsia="宋体" w:cs="宋体"/>
                <w:sz w:val="21"/>
                <w:szCs w:val="21"/>
                <w:lang w:eastAsia="zh-CN"/>
              </w:rPr>
              <w:t>韩永师2021-M1MMS-1068643</w:t>
            </w:r>
          </w:p>
        </w:tc>
        <w:tc>
          <w:tcPr>
            <w:tcW w:w="1650" w:type="dxa"/>
            <w:vAlign w:val="center"/>
          </w:tcPr>
          <w:p>
            <w:pPr>
              <w:spacing w:line="240" w:lineRule="exact"/>
              <w:jc w:val="center"/>
              <w:rPr>
                <w:rFonts w:cs="宋体" w:asciiTheme="minorEastAsia" w:hAnsiTheme="minorEastAsia"/>
                <w:kern w:val="0"/>
                <w:sz w:val="21"/>
                <w:szCs w:val="21"/>
              </w:rPr>
            </w:pPr>
            <w:r>
              <w:rPr>
                <w:rFonts w:cs="宋体" w:asciiTheme="minorEastAsia" w:hAnsiTheme="minorEastAsia"/>
                <w:bCs/>
                <w:kern w:val="0"/>
                <w:szCs w:val="21"/>
              </w:rPr>
              <w:t>监督审核涉及的区域或部门</w:t>
            </w:r>
          </w:p>
        </w:tc>
        <w:tc>
          <w:tcPr>
            <w:tcW w:w="2339" w:type="dxa"/>
            <w:vAlign w:val="top"/>
          </w:tcPr>
          <w:p>
            <w:pPr>
              <w:spacing w:line="360" w:lineRule="auto"/>
              <w:rPr>
                <w:rFonts w:ascii="宋体" w:hAnsi="宋体" w:eastAsia="宋体" w:cs="Times New Roman"/>
                <w:bCs/>
                <w:sz w:val="21"/>
                <w:szCs w:val="21"/>
              </w:rPr>
            </w:pPr>
            <w:r>
              <w:rPr>
                <w:rFonts w:hint="eastAsia" w:ascii="宋体"/>
                <w:szCs w:val="21"/>
                <w:lang w:val="en-US" w:eastAsia="zh-CN"/>
              </w:rPr>
              <w:t>技质部、生产部（车间）、</w:t>
            </w:r>
            <w:r>
              <w:rPr>
                <w:rFonts w:hint="eastAsia" w:ascii="宋体" w:hAnsi="宋体" w:cs="宋体"/>
                <w:kern w:val="0"/>
                <w:szCs w:val="21"/>
                <w:lang w:eastAsia="zh-CN"/>
              </w:rPr>
              <w:t>综合办、供销部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招远金河石油设备技术开发有限公司远程</w:t>
      </w:r>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eastAsiaTheme="minorEastAsia"/>
          <w:bCs/>
          <w:kern w:val="0"/>
          <w:szCs w:val="21"/>
          <w:lang w:eastAsia="zh-CN"/>
        </w:rPr>
      </w:pPr>
      <w:r>
        <w:rPr>
          <w:rFonts w:hint="eastAsia" w:ascii="宋体" w:hAnsi="宋体" w:cs="宋体"/>
          <w:bCs/>
          <w:kern w:val="0"/>
          <w:szCs w:val="21"/>
        </w:rPr>
        <w:t>3.1</w:t>
      </w: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2022</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3月16-17日</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组织了</w:t>
      </w:r>
      <w:r>
        <w:rPr>
          <w:rFonts w:hint="eastAsia" w:ascii="宋体" w:hAnsi="宋体" w:cs="宋体"/>
          <w:bCs/>
          <w:kern w:val="0"/>
          <w:szCs w:val="21"/>
        </w:rPr>
        <w:t>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r>
        <w:rPr>
          <w:rFonts w:hint="eastAsia" w:ascii="宋体" w:hAnsi="宋体" w:cs="宋体"/>
          <w:bCs/>
          <w:kern w:val="0"/>
          <w:szCs w:val="21"/>
          <w:lang w:eastAsia="zh-CN"/>
        </w:rPr>
        <w:t>。综合办主任刘金萍</w:t>
      </w:r>
      <w:r>
        <w:rPr>
          <w:rFonts w:hint="eastAsia" w:ascii="宋体" w:hAnsi="宋体" w:cs="宋体"/>
          <w:bCs/>
          <w:kern w:val="0"/>
          <w:szCs w:val="21"/>
          <w:highlight w:val="none"/>
          <w:lang w:eastAsia="zh-CN"/>
        </w:rPr>
        <w:t>任组长组织</w:t>
      </w:r>
      <w:r>
        <w:rPr>
          <w:rFonts w:hint="eastAsia" w:ascii="宋体" w:hAnsi="宋体" w:cs="宋体"/>
          <w:bCs/>
          <w:kern w:val="0"/>
          <w:szCs w:val="21"/>
          <w:highlight w:val="none"/>
        </w:rPr>
        <w:t>审核。</w:t>
      </w:r>
      <w:r>
        <w:rPr>
          <w:rFonts w:hint="eastAsia" w:ascii="宋体" w:hAnsi="宋体" w:cs="宋体"/>
          <w:bCs/>
          <w:kern w:val="0"/>
          <w:szCs w:val="21"/>
          <w:highlight w:val="none"/>
          <w:lang w:val="en-US" w:eastAsia="zh-CN"/>
        </w:rPr>
        <w:t>1个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1个</w:t>
      </w:r>
      <w:r>
        <w:rPr>
          <w:rFonts w:hint="eastAsia" w:ascii="宋体" w:hAnsi="宋体" w:cs="宋体"/>
          <w:bCs/>
          <w:kern w:val="0"/>
          <w:szCs w:val="21"/>
        </w:rPr>
        <w:t>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highlight w:val="none"/>
        </w:rPr>
        <w:t>公司于20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4</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14</w:t>
      </w:r>
      <w:r>
        <w:rPr>
          <w:rFonts w:hint="eastAsia" w:ascii="宋体" w:hAnsi="宋体" w:cs="宋体"/>
          <w:bCs/>
          <w:kern w:val="0"/>
          <w:szCs w:val="21"/>
          <w:highlight w:val="none"/>
        </w:rPr>
        <w:t>日，开展了测量体系管理</w:t>
      </w:r>
      <w:r>
        <w:rPr>
          <w:rFonts w:hint="eastAsia" w:ascii="宋体" w:hAnsi="宋体" w:cs="宋体"/>
          <w:bCs/>
          <w:kern w:val="0"/>
          <w:szCs w:val="21"/>
          <w:highlight w:val="none"/>
          <w:lang w:eastAsia="zh-CN"/>
        </w:rPr>
        <w:t>管理</w:t>
      </w:r>
      <w:r>
        <w:rPr>
          <w:rFonts w:hint="eastAsia" w:ascii="宋体" w:hAnsi="宋体" w:cs="宋体"/>
          <w:bCs/>
          <w:kern w:val="0"/>
          <w:szCs w:val="21"/>
          <w:highlight w:val="none"/>
        </w:rPr>
        <w:t>评审，</w:t>
      </w:r>
      <w:r>
        <w:rPr>
          <w:bCs/>
          <w:szCs w:val="21"/>
          <w:highlight w:val="none"/>
        </w:rPr>
        <w:t>会议由企业总经理</w:t>
      </w:r>
      <w:r>
        <w:rPr>
          <w:rFonts w:hint="eastAsia"/>
          <w:bCs/>
          <w:szCs w:val="21"/>
          <w:highlight w:val="none"/>
          <w:lang w:eastAsia="zh-CN"/>
        </w:rPr>
        <w:t>冯伟</w:t>
      </w:r>
      <w:r>
        <w:rPr>
          <w:rFonts w:hint="eastAsia"/>
          <w:bCs/>
          <w:sz w:val="21"/>
          <w:szCs w:val="21"/>
          <w:highlight w:val="none"/>
          <w:lang w:eastAsia="zh-CN"/>
        </w:rPr>
        <w:t>主持，</w:t>
      </w:r>
      <w:r>
        <w:rPr>
          <w:sz w:val="21"/>
          <w:szCs w:val="21"/>
          <w:highlight w:val="none"/>
        </w:rPr>
        <w:t>管理者代表</w:t>
      </w:r>
      <w:r>
        <w:rPr>
          <w:rFonts w:hint="eastAsia"/>
          <w:sz w:val="21"/>
          <w:szCs w:val="21"/>
          <w:highlight w:val="none"/>
          <w:lang w:eastAsia="zh-CN"/>
        </w:rPr>
        <w:t>及</w:t>
      </w:r>
      <w:r>
        <w:rPr>
          <w:sz w:val="21"/>
          <w:szCs w:val="21"/>
          <w:highlight w:val="none"/>
        </w:rPr>
        <w:t>各部门</w:t>
      </w:r>
      <w:r>
        <w:rPr>
          <w:bCs/>
          <w:sz w:val="21"/>
          <w:szCs w:val="21"/>
          <w:highlight w:val="none"/>
        </w:rPr>
        <w:t>汇报了体系运行情况和部门工作完成情况。</w:t>
      </w:r>
      <w:r>
        <w:rPr>
          <w:rFonts w:hint="eastAsia" w:ascii="宋体" w:hAnsi="宋体" w:cs="宋体"/>
          <w:bCs/>
          <w:kern w:val="0"/>
          <w:sz w:val="21"/>
          <w:szCs w:val="21"/>
          <w:highlight w:val="none"/>
        </w:rPr>
        <w:t>会上肯定了公司</w:t>
      </w:r>
      <w:r>
        <w:rPr>
          <w:rFonts w:hint="eastAsia" w:ascii="宋体" w:hAnsi="宋体" w:cs="宋体"/>
          <w:bCs/>
          <w:kern w:val="0"/>
          <w:szCs w:val="21"/>
          <w:highlight w:val="none"/>
        </w:rPr>
        <w:t>测量管理体系的充分性、有效性和适宜性。</w:t>
      </w:r>
      <w:r>
        <w:rPr>
          <w:rFonts w:hint="eastAsia" w:ascii="宋体" w:hAnsi="宋体" w:cs="宋体"/>
          <w:bCs/>
          <w:kern w:val="0"/>
          <w:szCs w:val="21"/>
        </w:rPr>
        <w:t>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bookmarkStart w:id="3" w:name="审核范围"/>
      <w:r>
        <w:rPr>
          <w:color w:val="000000"/>
          <w:szCs w:val="21"/>
        </w:rPr>
        <w:t>石油机械、工具技术开发服务;石油工具、矿山机械、锚杆、金属滤砂管、石油机械设备及密封件设计生产销售;机电设备、电气器件、装饰材料、五金交电、化工产品|(不含化危品),钢材、橡胶制品、轮胎、汽车配件批发、零售;</w:t>
      </w:r>
      <w:bookmarkEnd w:id="3"/>
      <w:r>
        <w:rPr>
          <w:rFonts w:hint="eastAsia" w:ascii="宋体" w:hAnsi="宋体"/>
          <w:szCs w:val="21"/>
          <w:lang w:eastAsia="zh-CN"/>
        </w:rPr>
        <w:t>。</w:t>
      </w:r>
      <w:r>
        <w:rPr>
          <w:rFonts w:hint="eastAsia" w:ascii="宋体"/>
          <w:szCs w:val="21"/>
          <w:lang w:val="en-US" w:eastAsia="zh-CN"/>
        </w:rPr>
        <w:t>技质部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黑体"/>
          <w:szCs w:val="21"/>
          <w:highlight w:val="none"/>
          <w:lang w:eastAsia="zh-CN"/>
        </w:rPr>
        <w:t>封隔器球座外径尺寸测量、封隔器硬度检验、</w:t>
      </w:r>
      <w:r>
        <w:rPr>
          <w:rFonts w:hint="eastAsia" w:ascii="宋体" w:hAnsi="宋体" w:cs="宋体"/>
          <w:kern w:val="0"/>
          <w:szCs w:val="21"/>
          <w:lang w:val="en-US" w:eastAsia="zh-CN"/>
        </w:rPr>
        <w:t>封隔器压力密封试验</w:t>
      </w:r>
      <w:r>
        <w:rPr>
          <w:rFonts w:hint="eastAsia" w:ascii="宋体" w:hAnsi="宋体" w:eastAsia="宋体" w:cs="宋体"/>
          <w:snapToGrid w:val="0"/>
          <w:color w:val="000000"/>
          <w:kern w:val="0"/>
          <w:szCs w:val="21"/>
          <w:lang w:eastAsia="zh-CN"/>
        </w:rPr>
        <w:t>等</w:t>
      </w:r>
      <w:r>
        <w:rPr>
          <w:rFonts w:hint="eastAsia" w:ascii="宋体" w:hAnsi="宋体" w:eastAsia="宋体" w:cs="宋体"/>
          <w:snapToGrid w:val="0"/>
          <w:color w:val="000000"/>
          <w:kern w:val="0"/>
          <w:szCs w:val="21"/>
          <w:lang w:val="en-US" w:eastAsia="zh-CN"/>
        </w:rPr>
        <w:t>10</w:t>
      </w:r>
      <w:r>
        <w:rPr>
          <w:rFonts w:hint="eastAsia" w:ascii="宋体" w:hAnsi="宋体" w:cs="宋体"/>
          <w:kern w:val="0"/>
          <w:szCs w:val="21"/>
          <w:lang w:val="en-US" w:eastAsia="zh-CN"/>
        </w:rPr>
        <w:t>个测量过程</w:t>
      </w:r>
      <w:r>
        <w:rPr>
          <w:rFonts w:ascii="Times New Roman" w:hAnsi="Times New Roman" w:cs="Times New Roman"/>
          <w:bCs/>
          <w:kern w:val="0"/>
          <w:szCs w:val="21"/>
        </w:rPr>
        <w:t>，其中</w:t>
      </w:r>
      <w:r>
        <w:rPr>
          <w:rFonts w:hint="eastAsia" w:ascii="Times New Roman" w:hAnsi="Times New Roman" w:cs="Times New Roman"/>
          <w:bCs/>
          <w:kern w:val="0"/>
          <w:szCs w:val="21"/>
          <w:lang w:val="en-US" w:eastAsia="zh-CN"/>
        </w:rPr>
        <w:t>、</w:t>
      </w:r>
      <w:r>
        <w:rPr>
          <w:rFonts w:ascii="Times New Roman" w:hAnsi="Times New Roman" w:cs="Times New Roman"/>
          <w:bCs/>
          <w:kern w:val="0"/>
          <w:szCs w:val="21"/>
        </w:rPr>
        <w:t>关键测量过程</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17</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lang w:eastAsia="zh-CN"/>
        </w:rPr>
        <w:t>封隔器球座外径尺寸</w:t>
      </w:r>
      <w:r>
        <w:rPr>
          <w:rFonts w:hint="eastAsia" w:ascii="宋体" w:hAnsi="宋体" w:cs="宋体"/>
          <w:kern w:val="0"/>
          <w:szCs w:val="21"/>
        </w:rPr>
        <w:t>测量</w:t>
      </w:r>
      <w:r>
        <w:rPr>
          <w:rFonts w:ascii="Times New Roman" w:hAnsi="Times New Roman" w:cs="Times New Roman"/>
          <w:bCs/>
          <w:kern w:val="0"/>
          <w:szCs w:val="21"/>
        </w:rPr>
        <w:t>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lang w:eastAsia="zh-CN"/>
        </w:rPr>
        <w:t>封隔器球座外径尺寸</w:t>
      </w:r>
      <w:r>
        <w:rPr>
          <w:rFonts w:hint="eastAsia" w:ascii="宋体" w:hAnsi="宋体" w:cs="宋体"/>
          <w:kern w:val="0"/>
          <w:szCs w:val="21"/>
        </w:rPr>
        <w:t>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lang w:eastAsia="zh-CN"/>
        </w:rPr>
        <w:t>封隔器球座外径尺寸</w:t>
      </w:r>
      <w:r>
        <w:rPr>
          <w:rFonts w:hint="eastAsia"/>
        </w:rPr>
        <w:t>测量</w:t>
      </w:r>
      <w:r>
        <w:rPr>
          <w:rFonts w:hint="eastAsia" w:ascii="Times New Roman" w:hAnsi="Times New Roman"/>
          <w:sz w:val="21"/>
          <w:szCs w:val="21"/>
        </w:rPr>
        <w:t>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highlight w:val="none"/>
        </w:rPr>
      </w:pPr>
      <w:r>
        <w:rPr>
          <w:rFonts w:ascii="Times New Roman" w:hAnsi="Times New Roman" w:cs="Times New Roman"/>
          <w:bCs/>
          <w:kern w:val="0"/>
          <w:sz w:val="21"/>
          <w:szCs w:val="21"/>
        </w:rPr>
        <w:t>4.5、查《</w:t>
      </w:r>
      <w:r>
        <w:rPr>
          <w:rFonts w:hint="eastAsia"/>
          <w:lang w:eastAsia="zh-CN"/>
        </w:rPr>
        <w:t>封隔器球座外径尺寸</w:t>
      </w:r>
      <w:r>
        <w:rPr>
          <w:rFonts w:hint="eastAsia"/>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hint="eastAsia" w:ascii="Times New Roman" w:hAnsi="Times New Roman" w:cs="Times New Roman" w:eastAsiaTheme="minorEastAsia"/>
          <w:bCs/>
          <w:color w:val="auto"/>
          <w:kern w:val="0"/>
          <w:szCs w:val="21"/>
          <w:lang w:val="en-US" w:eastAsia="zh-CN"/>
        </w:rPr>
      </w:pPr>
      <w:r>
        <w:rPr>
          <w:rFonts w:ascii="Times New Roman" w:hAnsi="Times New Roman" w:cs="Times New Roman"/>
          <w:bCs/>
          <w:kern w:val="0"/>
          <w:sz w:val="21"/>
          <w:szCs w:val="21"/>
          <w:highlight w:val="none"/>
        </w:rPr>
        <w:t>4.</w:t>
      </w:r>
      <w:r>
        <w:rPr>
          <w:rFonts w:hint="eastAsia" w:ascii="Times New Roman" w:hAnsi="Times New Roman" w:cs="Times New Roman"/>
          <w:bCs/>
          <w:kern w:val="0"/>
          <w:sz w:val="21"/>
          <w:szCs w:val="21"/>
          <w:highlight w:val="none"/>
          <w:lang w:val="en-US" w:eastAsia="zh-CN"/>
        </w:rPr>
        <w:t>6</w:t>
      </w:r>
      <w:r>
        <w:rPr>
          <w:rFonts w:hint="eastAsia" w:cs="宋体" w:asciiTheme="minorEastAsia" w:hAnsiTheme="minorEastAsia"/>
          <w:color w:val="auto"/>
          <w:kern w:val="0"/>
          <w:szCs w:val="21"/>
          <w:highlight w:val="none"/>
        </w:rPr>
        <w:t>测量设备的溯源：</w:t>
      </w:r>
      <w:r>
        <w:rPr>
          <w:rFonts w:hint="eastAsia" w:cs="宋体" w:asciiTheme="minorEastAsia" w:hAnsiTheme="minorEastAsia"/>
          <w:color w:val="auto"/>
          <w:kern w:val="0"/>
          <w:szCs w:val="21"/>
          <w:highlight w:val="none"/>
          <w:lang w:eastAsia="zh-CN"/>
        </w:rPr>
        <w:t>企业未</w:t>
      </w:r>
      <w:r>
        <w:rPr>
          <w:rFonts w:hint="eastAsia" w:ascii="宋体" w:hAnsi="宋体" w:eastAsia="宋体"/>
          <w:bCs/>
          <w:color w:val="auto"/>
          <w:szCs w:val="21"/>
          <w:highlight w:val="none"/>
        </w:rPr>
        <w:t>建立最高标准</w:t>
      </w:r>
      <w:r>
        <w:rPr>
          <w:rFonts w:hint="eastAsia" w:ascii="宋体" w:hAnsi="宋体" w:eastAsia="宋体"/>
          <w:bCs/>
          <w:color w:val="auto"/>
          <w:sz w:val="21"/>
          <w:szCs w:val="21"/>
          <w:highlight w:val="none"/>
        </w:rPr>
        <w:t>，企业测量设备</w:t>
      </w:r>
      <w:r>
        <w:rPr>
          <w:rFonts w:hint="eastAsia" w:ascii="宋体" w:hAnsi="宋体" w:eastAsia="宋体"/>
          <w:bCs/>
          <w:color w:val="auto"/>
          <w:sz w:val="21"/>
          <w:szCs w:val="21"/>
          <w:highlight w:val="none"/>
          <w:lang w:eastAsia="zh-CN"/>
        </w:rPr>
        <w:t>全部</w:t>
      </w:r>
      <w:r>
        <w:rPr>
          <w:rFonts w:hint="eastAsia" w:ascii="宋体" w:hAnsi="宋体" w:eastAsia="宋体"/>
          <w:bCs/>
          <w:color w:val="auto"/>
          <w:sz w:val="21"/>
          <w:szCs w:val="21"/>
          <w:highlight w:val="none"/>
        </w:rPr>
        <w:t>外送</w:t>
      </w:r>
      <w:r>
        <w:rPr>
          <w:rFonts w:hint="eastAsia" w:ascii="宋体" w:hAnsi="宋体" w:eastAsia="宋体"/>
          <w:bCs/>
          <w:color w:val="auto"/>
          <w:sz w:val="21"/>
          <w:szCs w:val="21"/>
          <w:highlight w:val="none"/>
          <w:lang w:eastAsia="zh-CN"/>
        </w:rPr>
        <w:t>安正计量检测有限公司</w:t>
      </w:r>
      <w:r>
        <w:rPr>
          <w:rFonts w:hint="eastAsia" w:cs="Tahoma"/>
          <w:color w:val="auto"/>
          <w:sz w:val="21"/>
          <w:szCs w:val="21"/>
          <w:highlight w:val="none"/>
          <w:lang w:eastAsia="zh-CN"/>
        </w:rPr>
        <w:t>，</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L9002；</w:t>
      </w:r>
      <w:r>
        <w:rPr>
          <w:rFonts w:hint="eastAsia"/>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8份校准</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rPr>
        <w:t>，证书中使用的计量标准符合要求，填写规范，信息无遗漏，授权人</w:t>
      </w:r>
      <w:r>
        <w:rPr>
          <w:rFonts w:ascii="Times New Roman" w:hAnsi="Times New Roman"/>
          <w:color w:val="auto"/>
          <w:sz w:val="21"/>
          <w:szCs w:val="21"/>
          <w:highlight w:val="none"/>
        </w:rPr>
        <w:t>签章资质有效，符合要求。详见附件《测量设备溯源抽查表》。</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bCs/>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ascii="宋体" w:hAnsi="宋体" w:cs="宋体"/>
          <w:kern w:val="0"/>
          <w:szCs w:val="21"/>
          <w:lang w:eastAsia="zh-CN"/>
        </w:rPr>
        <w:t>现场用于封隔器启动压力试验的压力表（</w:t>
      </w:r>
      <w:r>
        <w:rPr>
          <w:rFonts w:hint="eastAsia" w:ascii="宋体" w:hAnsi="宋体" w:cs="宋体"/>
          <w:kern w:val="0"/>
          <w:szCs w:val="21"/>
          <w:lang w:val="en-US" w:eastAsia="zh-CN"/>
        </w:rPr>
        <w:t>0-1.6</w:t>
      </w:r>
      <w:r>
        <w:rPr>
          <w:rFonts w:hint="eastAsia" w:ascii="宋体" w:hAnsi="宋体" w:cs="宋体"/>
          <w:kern w:val="0"/>
          <w:szCs w:val="21"/>
          <w:lang w:eastAsia="zh-CN"/>
        </w:rPr>
        <w:t>）</w:t>
      </w:r>
      <w:r>
        <w:rPr>
          <w:rFonts w:hint="eastAsia" w:ascii="宋体" w:hAnsi="宋体" w:cs="宋体"/>
          <w:kern w:val="0"/>
          <w:szCs w:val="21"/>
          <w:lang w:val="en-US" w:eastAsia="zh-CN"/>
        </w:rPr>
        <w:t>MPa，企业管理编号：XT001,没有进行计量确认”。</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rPr>
          <w:rFonts w:hint="eastAsia"/>
          <w:szCs w:val="21"/>
          <w:lang w:eastAsia="zh-CN"/>
        </w:rPr>
      </w:pPr>
      <w:r>
        <w:rPr>
          <w:rFonts w:hint="eastAsia" w:ascii="宋体" w:hAnsi="宋体" w:cs="宋体"/>
          <w:bCs/>
          <w:kern w:val="0"/>
          <w:szCs w:val="21"/>
        </w:rPr>
        <w:t>公司目前尚未接到客户在</w:t>
      </w:r>
      <w:r>
        <w:rPr>
          <w:rFonts w:hint="eastAsia" w:ascii="宋体" w:hAnsi="宋体" w:cs="宋体"/>
          <w:bCs/>
          <w:kern w:val="0"/>
          <w:szCs w:val="21"/>
          <w:lang w:eastAsia="zh-CN"/>
        </w:rPr>
        <w:t>生产</w:t>
      </w:r>
      <w:r>
        <w:rPr>
          <w:rFonts w:hint="eastAsia" w:ascii="宋体" w:hAnsi="宋体" w:cs="宋体"/>
          <w:bCs/>
          <w:kern w:val="0"/>
          <w:szCs w:val="21"/>
        </w:rPr>
        <w:t>产品</w:t>
      </w:r>
      <w:r>
        <w:rPr>
          <w:rFonts w:hint="eastAsia" w:ascii="宋体" w:hAnsi="宋体" w:cs="宋体"/>
          <w:bCs/>
          <w:kern w:val="0"/>
          <w:szCs w:val="21"/>
          <w:lang w:eastAsia="zh-CN"/>
        </w:rPr>
        <w:t>、销售、</w:t>
      </w:r>
      <w:r>
        <w:rPr>
          <w:rFonts w:hint="eastAsia"/>
          <w:szCs w:val="21"/>
          <w:lang w:eastAsia="zh-CN"/>
        </w:rPr>
        <w:t>服务</w:t>
      </w:r>
      <w:r>
        <w:rPr>
          <w:rFonts w:hint="eastAsia" w:ascii="宋体" w:hAnsi="宋体" w:cs="宋体"/>
          <w:bCs/>
          <w:kern w:val="0"/>
          <w:szCs w:val="21"/>
          <w:lang w:eastAsia="zh-CN"/>
        </w:rPr>
        <w:t>产品</w:t>
      </w:r>
      <w:r>
        <w:rPr>
          <w:rFonts w:hint="eastAsia" w:ascii="宋体" w:hAnsi="宋体" w:cs="宋体"/>
          <w:bCs/>
          <w:kern w:val="0"/>
          <w:szCs w:val="21"/>
          <w:lang w:val="en-US" w:eastAsia="zh-CN"/>
        </w:rPr>
        <w:t xml:space="preserve"> ，</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生产产品</w:t>
      </w:r>
      <w:r>
        <w:rPr>
          <w:rFonts w:hint="eastAsia"/>
          <w:szCs w:val="21"/>
          <w:lang w:eastAsia="zh-CN"/>
        </w:rPr>
        <w:t>和</w:t>
      </w:r>
      <w:r>
        <w:rPr>
          <w:rFonts w:hint="eastAsia" w:ascii="宋体" w:hAnsi="宋体" w:cs="宋体"/>
          <w:bCs/>
          <w:kern w:val="0"/>
          <w:szCs w:val="21"/>
          <w:lang w:eastAsia="zh-CN"/>
        </w:rPr>
        <w:t>销售</w:t>
      </w:r>
      <w:r>
        <w:rPr>
          <w:rFonts w:hint="eastAsia"/>
          <w:szCs w:val="21"/>
          <w:lang w:eastAsia="zh-CN"/>
        </w:rPr>
        <w:t>、服务产品均能</w:t>
      </w:r>
      <w:r>
        <w:rPr>
          <w:szCs w:val="21"/>
        </w:rPr>
        <w:t>够满足顾客</w:t>
      </w:r>
      <w:r>
        <w:rPr>
          <w:rFonts w:hint="eastAsia"/>
          <w:szCs w:val="21"/>
          <w:lang w:eastAsia="zh-CN"/>
        </w:rPr>
        <w:t>在</w:t>
      </w:r>
      <w:r>
        <w:rPr>
          <w:szCs w:val="21"/>
        </w:rPr>
        <w:t>行业标准对产品</w:t>
      </w:r>
      <w:r>
        <w:rPr>
          <w:rFonts w:hint="eastAsia"/>
          <w:szCs w:val="21"/>
          <w:lang w:eastAsia="zh-CN"/>
        </w:rPr>
        <w:t>和</w:t>
      </w:r>
      <w:r>
        <w:rPr>
          <w:rFonts w:hint="eastAsia" w:ascii="宋体" w:hAnsi="宋体" w:cs="宋体"/>
          <w:bCs/>
          <w:kern w:val="0"/>
          <w:szCs w:val="21"/>
          <w:lang w:eastAsia="zh-CN"/>
        </w:rPr>
        <w:t>销售</w:t>
      </w:r>
      <w:r>
        <w:rPr>
          <w:rFonts w:hint="eastAsia"/>
          <w:szCs w:val="21"/>
          <w:lang w:eastAsia="zh-CN"/>
        </w:rPr>
        <w:t>、服务</w:t>
      </w:r>
      <w:r>
        <w:rPr>
          <w:szCs w:val="21"/>
        </w:rPr>
        <w:t>的要求。产品质量较好，未有顾客投诉。顾客</w:t>
      </w:r>
      <w:r>
        <w:rPr>
          <w:rFonts w:hint="eastAsia"/>
          <w:szCs w:val="21"/>
          <w:lang w:eastAsia="zh-CN"/>
        </w:rPr>
        <w:t>满意度达到标准要求。</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企业规定了公司的计量工作目标</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项，质量目标与计量方针一致。202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年度质量目标已分解。抽查企业</w:t>
      </w:r>
      <w:r>
        <w:rPr>
          <w:rFonts w:hint="eastAsia" w:cs="宋体" w:asciiTheme="minorEastAsia" w:hAnsiTheme="minorEastAsia"/>
          <w:bCs/>
          <w:kern w:val="0"/>
          <w:szCs w:val="21"/>
          <w:lang w:val="en-US" w:eastAsia="zh-CN"/>
        </w:rPr>
        <w:t>2021年4-12月和2022年1-3月，4</w:t>
      </w:r>
      <w:r>
        <w:rPr>
          <w:rFonts w:hint="eastAsia" w:cs="宋体" w:asciiTheme="minorEastAsia" w:hAnsiTheme="minor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rPr>
          <w:rFonts w:hint="eastAsia" w:ascii="宋体" w:hAnsi="宋体"/>
          <w:bCs/>
          <w:szCs w:val="21"/>
          <w:lang w:eastAsia="zh-CN"/>
        </w:rPr>
      </w:pPr>
      <w:r>
        <w:rPr>
          <w:rFonts w:hint="eastAsia" w:ascii="宋体" w:hAnsi="宋体"/>
          <w:bCs/>
          <w:szCs w:val="21"/>
        </w:rPr>
        <w:t>企业的资质情况</w:t>
      </w:r>
      <w:r>
        <w:rPr>
          <w:rFonts w:hint="eastAsia" w:ascii="宋体" w:hAnsi="宋体"/>
          <w:bCs/>
          <w:szCs w:val="21"/>
          <w:lang w:eastAsia="zh-CN"/>
        </w:rPr>
        <w:t>未</w:t>
      </w:r>
      <w:r>
        <w:rPr>
          <w:rFonts w:hint="eastAsia" w:ascii="宋体" w:hAnsi="宋体"/>
          <w:bCs/>
          <w:szCs w:val="21"/>
        </w:rPr>
        <w:t>发生变化，</w:t>
      </w:r>
      <w:r>
        <w:rPr>
          <w:rFonts w:hint="eastAsia" w:ascii="宋体" w:hAnsi="宋体"/>
          <w:bCs/>
          <w:szCs w:val="21"/>
          <w:lang w:eastAsia="zh-CN"/>
        </w:rPr>
        <w:t>测量体系的管理者代表由总经理任命为：韩云乐</w:t>
      </w:r>
      <w:bookmarkStart w:id="5" w:name="_GoBack"/>
      <w:bookmarkEnd w:id="5"/>
      <w:r>
        <w:rPr>
          <w:rFonts w:hint="eastAsia" w:ascii="宋体" w:hAnsi="宋体"/>
          <w:bCs/>
          <w:szCs w:val="21"/>
          <w:lang w:eastAsia="zh-CN"/>
        </w:rPr>
        <w:t>，组织测量体系运行工作。并履行管理者代表在测量体系中的职责。“测量管理体系手册中颁布页”做了修订。附“管理者代表任命书”</w:t>
      </w:r>
      <w:r>
        <w:rPr>
          <w:rFonts w:hint="eastAsia" w:ascii="宋体" w:hAnsi="宋体"/>
          <w:bCs/>
          <w:szCs w:val="21"/>
          <w:lang w:val="en-US" w:eastAsia="zh-CN"/>
        </w:rPr>
        <w:t xml:space="preserve"> </w:t>
      </w:r>
      <w:r>
        <w:rPr>
          <w:rFonts w:hint="eastAsia" w:ascii="宋体" w:hAnsi="宋体"/>
          <w:bCs/>
          <w:szCs w:val="21"/>
        </w:rPr>
        <w:t>组织</w:t>
      </w:r>
      <w:r>
        <w:rPr>
          <w:rFonts w:hint="eastAsia" w:ascii="宋体" w:hAnsi="宋体"/>
          <w:bCs/>
          <w:szCs w:val="21"/>
          <w:lang w:eastAsia="zh-CN"/>
        </w:rPr>
        <w:t>机构没有变更</w:t>
      </w:r>
      <w:r>
        <w:rPr>
          <w:rFonts w:hint="eastAsia" w:ascii="宋体" w:hAnsi="宋体"/>
          <w:bCs/>
          <w:szCs w:val="21"/>
        </w:rPr>
        <w:t>。</w:t>
      </w:r>
      <w:r>
        <w:rPr>
          <w:rFonts w:hint="eastAsia" w:ascii="宋体" w:hAnsi="宋体"/>
          <w:bCs/>
          <w:szCs w:val="21"/>
          <w:lang w:val="en-US" w:eastAsia="zh-CN"/>
        </w:rPr>
        <w:t>企业经营范围未变化</w:t>
      </w:r>
      <w:r>
        <w:rPr>
          <w:rFonts w:hint="eastAsia" w:ascii="宋体" w:hAnsi="宋体"/>
          <w:bCs/>
          <w:szCs w:val="21"/>
          <w:lang w:eastAsia="zh-CN"/>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firstLine="420" w:firstLine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rPr>
        <w:t>企业用于</w:t>
      </w:r>
      <w:r>
        <w:rPr>
          <w:rFonts w:hint="eastAsia" w:ascii="宋体" w:hAnsi="宋体" w:cs="宋体"/>
          <w:bCs/>
          <w:kern w:val="0"/>
          <w:szCs w:val="21"/>
          <w:lang w:eastAsia="zh-CN"/>
        </w:rPr>
        <w:t>胜利油田</w:t>
      </w:r>
      <w:r>
        <w:rPr>
          <w:rFonts w:hint="eastAsia" w:ascii="宋体" w:hAnsi="宋体" w:cs="宋体"/>
          <w:bCs/>
          <w:kern w:val="0"/>
          <w:szCs w:val="21"/>
        </w:rPr>
        <w:t>标招投加分</w:t>
      </w:r>
      <w:r>
        <w:rPr>
          <w:rFonts w:hint="eastAsia" w:ascii="宋体" w:hAnsi="宋体" w:cs="宋体"/>
          <w:bCs/>
          <w:kern w:val="0"/>
          <w:szCs w:val="21"/>
          <w:lang w:eastAsia="zh-CN"/>
        </w:rPr>
        <w:t>等单位。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hint="eastAsia" w:ascii="宋体" w:hAnsi="宋体" w:cs="宋体"/>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szCs w:val="21"/>
        </w:rPr>
        <w:t>检查合格供方名录，发现</w:t>
      </w:r>
      <w:r>
        <w:rPr>
          <w:rFonts w:hint="eastAsia" w:ascii="宋体" w:hAnsi="宋体"/>
          <w:szCs w:val="21"/>
          <w:lang w:eastAsia="zh-CN"/>
        </w:rPr>
        <w:t>“</w:t>
      </w:r>
      <w:r>
        <w:rPr>
          <w:rFonts w:hint="eastAsia" w:ascii="宋体" w:hAnsi="宋体" w:eastAsia="宋体"/>
          <w:bCs/>
          <w:color w:val="auto"/>
          <w:sz w:val="21"/>
          <w:szCs w:val="21"/>
          <w:lang w:eastAsia="zh-CN"/>
        </w:rPr>
        <w:t>安正计量检测有限公司</w:t>
      </w:r>
      <w:r>
        <w:rPr>
          <w:rFonts w:hint="eastAsia" w:ascii="宋体" w:hAnsi="宋体"/>
          <w:szCs w:val="21"/>
          <w:lang w:eastAsia="zh-CN"/>
        </w:rPr>
        <w:t>”</w:t>
      </w:r>
      <w:r>
        <w:rPr>
          <w:rFonts w:hint="eastAsia" w:ascii="宋体" w:hAnsi="宋体" w:eastAsia="宋体" w:cs="Times New Roman"/>
          <w:szCs w:val="21"/>
        </w:rPr>
        <w:t>列入合格供</w:t>
      </w:r>
      <w:r>
        <w:rPr>
          <w:rFonts w:hint="eastAsia" w:ascii="宋体" w:hAnsi="宋体"/>
          <w:szCs w:val="21"/>
        </w:rPr>
        <w:t>方名录，</w:t>
      </w:r>
      <w:r>
        <w:rPr>
          <w:rFonts w:hint="eastAsia" w:ascii="宋体" w:hAnsi="宋体"/>
          <w:szCs w:val="21"/>
          <w:lang w:eastAsia="zh-CN"/>
        </w:rPr>
        <w:t>但</w:t>
      </w:r>
      <w:r>
        <w:rPr>
          <w:rFonts w:hint="eastAsia" w:ascii="宋体" w:hAnsi="宋体"/>
          <w:color w:val="auto"/>
          <w:szCs w:val="21"/>
          <w:lang w:eastAsia="zh-CN"/>
        </w:rPr>
        <w:t>未提供有效性的</w:t>
      </w:r>
      <w:r>
        <w:rPr>
          <w:rFonts w:hint="eastAsia" w:ascii="宋体" w:hAnsi="宋体"/>
          <w:color w:val="auto"/>
          <w:szCs w:val="21"/>
        </w:rPr>
        <w:t>评价</w:t>
      </w:r>
      <w:r>
        <w:rPr>
          <w:rFonts w:hint="eastAsia" w:ascii="宋体" w:hAnsi="宋体"/>
          <w:color w:val="auto"/>
          <w:szCs w:val="21"/>
          <w:lang w:eastAsia="zh-CN"/>
        </w:rPr>
        <w:t>记录</w:t>
      </w:r>
      <w:r>
        <w:rPr>
          <w:rFonts w:hint="eastAsia" w:ascii="宋体" w:hAnsi="宋体"/>
          <w:szCs w:val="21"/>
        </w:rPr>
        <w:t>。不符合GB/T19022-2003  6.4条款</w:t>
      </w:r>
      <w:r>
        <w:rPr>
          <w:rFonts w:hint="eastAsia" w:ascii="宋体" w:hAnsi="宋体"/>
          <w:szCs w:val="21"/>
          <w:lang w:eastAsia="zh-CN"/>
        </w:rPr>
        <w:t>外部供方</w:t>
      </w:r>
      <w:r>
        <w:rPr>
          <w:rFonts w:hint="eastAsia" w:ascii="宋体" w:hAnsi="宋体"/>
          <w:szCs w:val="21"/>
        </w:rPr>
        <w:t>的规定要求。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23.98</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ascii="宋体" w:hAnsi="宋体"/>
          <w:b w:val="0"/>
          <w:bCs/>
          <w:szCs w:val="21"/>
          <w:highlight w:val="none"/>
          <w:lang w:val="en-US" w:eastAsia="zh-CN"/>
        </w:rPr>
        <w:t>2.5</w:t>
      </w:r>
      <w:r>
        <w:rPr>
          <w:rFonts w:hint="eastAsia"/>
          <w:b w:val="0"/>
          <w:bCs/>
          <w:szCs w:val="21"/>
          <w:highlight w:val="none"/>
        </w:rPr>
        <w:t>级</w:t>
      </w:r>
      <w:r>
        <w:rPr>
          <w:rFonts w:hint="eastAsia"/>
          <w:b w:val="0"/>
          <w:bCs/>
          <w:szCs w:val="21"/>
          <w:highlight w:val="none"/>
          <w:lang w:eastAsia="zh-CN"/>
        </w:rPr>
        <w:t>水表</w:t>
      </w:r>
      <w:r>
        <w:rPr>
          <w:rFonts w:hint="eastAsia"/>
          <w:b w:val="0"/>
          <w:bCs/>
          <w:szCs w:val="21"/>
          <w:highlight w:val="none"/>
          <w:lang w:val="en-US" w:eastAsia="zh-CN"/>
        </w:rPr>
        <w:t>1块。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04</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18日上午-04月18日下午</w:t>
      </w:r>
      <w:r>
        <w:rPr>
          <w:rFonts w:hint="eastAsia" w:ascii="宋体" w:hAnsi="宋体" w:cs="宋体"/>
          <w:bCs/>
          <w:color w:val="auto"/>
          <w:kern w:val="0"/>
          <w:szCs w:val="21"/>
        </w:rPr>
        <w:t>，对</w:t>
      </w:r>
      <w:r>
        <w:rPr>
          <w:rFonts w:hint="eastAsia" w:ascii="宋体" w:hAnsi="宋体"/>
          <w:color w:val="auto"/>
          <w:szCs w:val="21"/>
          <w:lang w:eastAsia="zh-CN"/>
        </w:rPr>
        <w:t>招远金河石油设备技术开发有限公司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体系远程</w:t>
      </w:r>
      <w:r>
        <w:rPr>
          <w:rFonts w:hint="eastAsia" w:ascii="宋体" w:hAnsi="宋体" w:cs="宋体"/>
          <w:bCs/>
          <w:color w:val="auto"/>
          <w:kern w:val="0"/>
          <w:szCs w:val="21"/>
        </w:rPr>
        <w:t>监督审核，验证了公司在测量管理体系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招远金河石油设备技术开发有限公司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spacing w:line="360" w:lineRule="auto"/>
        <w:rPr>
          <w:rFonts w:hint="eastAsia" w:ascii="Times New Roman" w:hAnsi="Times New Roman" w:cs="Times New Roman" w:eastAsiaTheme="minorEastAsia"/>
          <w:bCs/>
          <w:kern w:val="0"/>
          <w:szCs w:val="21"/>
          <w:lang w:val="en-US" w:eastAsia="zh-CN"/>
        </w:rPr>
      </w:pPr>
      <w:r>
        <w:rPr>
          <w:rFonts w:hint="eastAsia" w:ascii="Times New Roman" w:hAnsi="Times New Roman" w:cs="Times New Roman"/>
          <w:bCs/>
          <w:kern w:val="0"/>
          <w:szCs w:val="21"/>
          <w:lang w:val="en-US" w:eastAsia="zh-CN"/>
        </w:rPr>
        <w:t>1、建议企业内审员参加培训、满足测量体系</w:t>
      </w:r>
      <w:r>
        <w:rPr>
          <w:rFonts w:hint="eastAsia" w:ascii="Times New Roman" w:hAnsi="Times New Roman" w:cs="Times New Roman"/>
          <w:bCs/>
          <w:kern w:val="0"/>
          <w:szCs w:val="21"/>
          <w:lang w:eastAsia="zh-CN"/>
        </w:rPr>
        <w:t>认证工作的需求</w:t>
      </w:r>
    </w:p>
    <w:p>
      <w:pPr>
        <w:widowControl/>
        <w:numPr>
          <w:ilvl w:val="0"/>
          <w:numId w:val="0"/>
        </w:numPr>
        <w:spacing w:line="360" w:lineRule="auto"/>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0"/>
        </w:numPr>
        <w:spacing w:line="360" w:lineRule="auto"/>
        <w:ind w:firstLine="420" w:firstLineChars="200"/>
        <w:rPr>
          <w:rFonts w:ascii="Times New Roman" w:hAnsi="Times New Roman" w:cs="Times New Roman"/>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819150" cy="435610"/>
            <wp:effectExtent l="0" t="0" r="0" b="2540"/>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819150" cy="43561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2022.04.18</w:t>
      </w:r>
    </w:p>
    <w:p>
      <w:pPr>
        <w:widowControl/>
        <w:spacing w:line="360" w:lineRule="auto"/>
        <w:rPr>
          <w:rFonts w:ascii="宋体" w:hAnsi="宋体" w:eastAsia="宋体" w:cs="宋体"/>
          <w:b/>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w:t>
      </w:r>
      <w:r>
        <w:rPr>
          <w:rFonts w:hint="eastAsia" w:ascii="宋体" w:hAnsi="宋体" w:eastAsia="宋体" w:cs="宋体"/>
          <w:b/>
          <w:bCs/>
          <w:kern w:val="0"/>
          <w:szCs w:val="21"/>
          <w:lang w:eastAsia="zh-CN"/>
        </w:rPr>
        <w:t>员</w:t>
      </w:r>
      <w:r>
        <w:rPr>
          <w:rFonts w:ascii="宋体" w:hAnsi="宋体" w:eastAsia="宋体" w:cs="宋体"/>
          <w:b/>
          <w:bCs/>
          <w:kern w:val="0"/>
          <w:szCs w:val="21"/>
        </w:rPr>
        <w:t>（签字）：</w:t>
      </w:r>
      <w:r>
        <w:rPr>
          <w:rFonts w:hint="eastAsia" w:ascii="宋体" w:hAnsi="宋体" w:eastAsia="宋体" w:cs="宋体"/>
          <w:b/>
          <w:bCs/>
          <w:kern w:val="0"/>
          <w:szCs w:val="21"/>
          <w:lang w:val="en-US" w:eastAsia="zh-CN"/>
        </w:rPr>
        <w:t xml:space="preserve">     </w:t>
      </w:r>
      <w:r>
        <w:rPr>
          <w:rFonts w:hint="eastAsia" w:ascii="宋体" w:hAnsi="宋体" w:cs="宋体"/>
          <w:color w:val="000000"/>
          <w:kern w:val="0"/>
          <w:szCs w:val="21"/>
        </w:rPr>
        <w:drawing>
          <wp:inline distT="0" distB="0" distL="114300" distR="114300">
            <wp:extent cx="846455" cy="464185"/>
            <wp:effectExtent l="0" t="0" r="10795" b="12065"/>
            <wp:docPr id="3" name="图片 1" descr="dc6591ee117163b669e3d77c8082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c6591ee117163b669e3d77c80822f2"/>
                    <pic:cNvPicPr>
                      <a:picLocks noChangeAspect="1"/>
                    </pic:cNvPicPr>
                  </pic:nvPicPr>
                  <pic:blipFill>
                    <a:blip r:embed="rId7"/>
                    <a:srcRect t="7143" r="4307" b="5833"/>
                    <a:stretch>
                      <a:fillRect/>
                    </a:stretch>
                  </pic:blipFill>
                  <pic:spPr>
                    <a:xfrm>
                      <a:off x="0" y="0"/>
                      <a:ext cx="846455" cy="464185"/>
                    </a:xfrm>
                    <a:prstGeom prst="rect">
                      <a:avLst/>
                    </a:prstGeom>
                    <a:noFill/>
                    <a:ln>
                      <a:noFill/>
                    </a:ln>
                  </pic:spPr>
                </pic:pic>
              </a:graphicData>
            </a:graphic>
          </wp:inline>
        </w:drawing>
      </w:r>
      <w:r>
        <w:rPr>
          <w:rFonts w:hint="eastAsia" w:ascii="宋体" w:hAnsi="宋体" w:eastAsia="宋体" w:cs="宋体"/>
          <w:b/>
          <w:bCs/>
          <w:kern w:val="0"/>
          <w:szCs w:val="21"/>
          <w:lang w:val="en-US" w:eastAsia="zh-CN"/>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2022.04.18</w:t>
      </w:r>
    </w:p>
    <w:p>
      <w:pPr>
        <w:widowControl/>
        <w:spacing w:line="360" w:lineRule="auto"/>
        <w:rPr>
          <w:rFonts w:hint="eastAsia" w:ascii="宋体" w:hAnsi="宋体" w:cs="宋体"/>
          <w:b/>
          <w:bCs/>
          <w:kern w:val="0"/>
          <w:szCs w:val="21"/>
        </w:rPr>
      </w:pPr>
      <w:r>
        <w:rPr>
          <w:rFonts w:hint="eastAsia" w:ascii="宋体" w:hAnsi="宋体" w:eastAsia="宋体" w:cs="宋体"/>
          <w:b/>
          <w:bCs/>
          <w:kern w:val="0"/>
          <w:szCs w:val="21"/>
          <w:lang w:val="en-US" w:eastAsia="zh-CN"/>
        </w:rPr>
        <w:t xml:space="preserve">         </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62336" behindDoc="0" locked="0" layoutInCell="1" allowOverlap="1">
          <wp:simplePos x="0" y="0"/>
          <wp:positionH relativeFrom="column">
            <wp:posOffset>-436245</wp:posOffset>
          </wp:positionH>
          <wp:positionV relativeFrom="paragraph">
            <wp:posOffset>90170</wp:posOffset>
          </wp:positionV>
          <wp:extent cx="481965" cy="485140"/>
          <wp:effectExtent l="0" t="0" r="133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1312;mso-width-relative:page;mso-height-relative:page;" coordsize="21600,21600">
          <v:path arrowok="t"/>
          <v:fill focussize="0,0"/>
          <v:stroke/>
          <v:imagedata o:title=""/>
          <o:lock v:ext="edit"/>
        </v:line>
      </w:pict>
    </w: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47B5"/>
    <w:rsid w:val="00D62FE0"/>
    <w:rsid w:val="00DB47DA"/>
    <w:rsid w:val="011662FE"/>
    <w:rsid w:val="015B300B"/>
    <w:rsid w:val="019126B1"/>
    <w:rsid w:val="03B215BD"/>
    <w:rsid w:val="03E563DD"/>
    <w:rsid w:val="04811578"/>
    <w:rsid w:val="049D6929"/>
    <w:rsid w:val="05FD5174"/>
    <w:rsid w:val="07125D6B"/>
    <w:rsid w:val="07A22038"/>
    <w:rsid w:val="07F6331D"/>
    <w:rsid w:val="081433FF"/>
    <w:rsid w:val="0866484A"/>
    <w:rsid w:val="08AF38B7"/>
    <w:rsid w:val="08C9577B"/>
    <w:rsid w:val="09851FB9"/>
    <w:rsid w:val="0AE44215"/>
    <w:rsid w:val="0C2D2773"/>
    <w:rsid w:val="0CC1767E"/>
    <w:rsid w:val="0DE1402D"/>
    <w:rsid w:val="0E594764"/>
    <w:rsid w:val="0E5F6936"/>
    <w:rsid w:val="1051458B"/>
    <w:rsid w:val="10FC7F7C"/>
    <w:rsid w:val="11261FFC"/>
    <w:rsid w:val="12730AAA"/>
    <w:rsid w:val="145913C3"/>
    <w:rsid w:val="16010527"/>
    <w:rsid w:val="161D37AD"/>
    <w:rsid w:val="17D03874"/>
    <w:rsid w:val="18314892"/>
    <w:rsid w:val="18895737"/>
    <w:rsid w:val="1ACA15A5"/>
    <w:rsid w:val="1B701893"/>
    <w:rsid w:val="1B9A71FB"/>
    <w:rsid w:val="1D644926"/>
    <w:rsid w:val="1E0679E2"/>
    <w:rsid w:val="1E507DB8"/>
    <w:rsid w:val="1F30615A"/>
    <w:rsid w:val="1F551C9C"/>
    <w:rsid w:val="1F8B7A86"/>
    <w:rsid w:val="1FB73513"/>
    <w:rsid w:val="20245D89"/>
    <w:rsid w:val="21C517C9"/>
    <w:rsid w:val="2253747B"/>
    <w:rsid w:val="228F589D"/>
    <w:rsid w:val="238D590A"/>
    <w:rsid w:val="23A02834"/>
    <w:rsid w:val="23E3439E"/>
    <w:rsid w:val="259C7022"/>
    <w:rsid w:val="25FE255B"/>
    <w:rsid w:val="260F3D59"/>
    <w:rsid w:val="26362CBF"/>
    <w:rsid w:val="26AA361A"/>
    <w:rsid w:val="27816C16"/>
    <w:rsid w:val="27954974"/>
    <w:rsid w:val="29331D87"/>
    <w:rsid w:val="299E6A98"/>
    <w:rsid w:val="2A096538"/>
    <w:rsid w:val="2AB05D19"/>
    <w:rsid w:val="2B030917"/>
    <w:rsid w:val="2B5E0F67"/>
    <w:rsid w:val="2C4F0E75"/>
    <w:rsid w:val="2DB3298D"/>
    <w:rsid w:val="2E0B23F6"/>
    <w:rsid w:val="2E42048A"/>
    <w:rsid w:val="2E9535C2"/>
    <w:rsid w:val="2F3769D8"/>
    <w:rsid w:val="2F98679A"/>
    <w:rsid w:val="2FD947E2"/>
    <w:rsid w:val="30702F46"/>
    <w:rsid w:val="313D2294"/>
    <w:rsid w:val="31647056"/>
    <w:rsid w:val="321A44F5"/>
    <w:rsid w:val="322C5776"/>
    <w:rsid w:val="328D7A02"/>
    <w:rsid w:val="32A1519D"/>
    <w:rsid w:val="33E861D3"/>
    <w:rsid w:val="356A4FB1"/>
    <w:rsid w:val="363F5E2D"/>
    <w:rsid w:val="36BD22BD"/>
    <w:rsid w:val="38086043"/>
    <w:rsid w:val="381744A8"/>
    <w:rsid w:val="382A5B08"/>
    <w:rsid w:val="3868400B"/>
    <w:rsid w:val="38880CD0"/>
    <w:rsid w:val="39571FC5"/>
    <w:rsid w:val="39EA584B"/>
    <w:rsid w:val="3AA660B4"/>
    <w:rsid w:val="3B061D57"/>
    <w:rsid w:val="3BAF7989"/>
    <w:rsid w:val="3F903830"/>
    <w:rsid w:val="408706D3"/>
    <w:rsid w:val="40A07680"/>
    <w:rsid w:val="410648F3"/>
    <w:rsid w:val="42D771AE"/>
    <w:rsid w:val="44C42B5F"/>
    <w:rsid w:val="46184AD1"/>
    <w:rsid w:val="46771B56"/>
    <w:rsid w:val="47A4153F"/>
    <w:rsid w:val="49F92A91"/>
    <w:rsid w:val="4A126716"/>
    <w:rsid w:val="4ABD7835"/>
    <w:rsid w:val="4BD16FB0"/>
    <w:rsid w:val="4C226659"/>
    <w:rsid w:val="4EC027DE"/>
    <w:rsid w:val="4F822A24"/>
    <w:rsid w:val="4FD32ED3"/>
    <w:rsid w:val="50592BEA"/>
    <w:rsid w:val="505F1232"/>
    <w:rsid w:val="50FA73B2"/>
    <w:rsid w:val="5133471D"/>
    <w:rsid w:val="52977792"/>
    <w:rsid w:val="52D06ACC"/>
    <w:rsid w:val="533D0BB1"/>
    <w:rsid w:val="5348580B"/>
    <w:rsid w:val="53E204EF"/>
    <w:rsid w:val="53FD699A"/>
    <w:rsid w:val="548C10AE"/>
    <w:rsid w:val="553819D4"/>
    <w:rsid w:val="55846126"/>
    <w:rsid w:val="56A52AE7"/>
    <w:rsid w:val="56AF49FF"/>
    <w:rsid w:val="57961E25"/>
    <w:rsid w:val="57EE0A87"/>
    <w:rsid w:val="583773EE"/>
    <w:rsid w:val="589A1673"/>
    <w:rsid w:val="58FA7A57"/>
    <w:rsid w:val="5ACA30F8"/>
    <w:rsid w:val="5AD7341B"/>
    <w:rsid w:val="5B4471AA"/>
    <w:rsid w:val="5B625EC1"/>
    <w:rsid w:val="5BED2E50"/>
    <w:rsid w:val="5C5B583D"/>
    <w:rsid w:val="5CC34A42"/>
    <w:rsid w:val="5D6E5D7B"/>
    <w:rsid w:val="5D8B40D4"/>
    <w:rsid w:val="5E541A14"/>
    <w:rsid w:val="5E862DF5"/>
    <w:rsid w:val="5FEB3DF1"/>
    <w:rsid w:val="60A1694D"/>
    <w:rsid w:val="60AB0032"/>
    <w:rsid w:val="60EE17B6"/>
    <w:rsid w:val="60FF6850"/>
    <w:rsid w:val="612E2E61"/>
    <w:rsid w:val="61880FEB"/>
    <w:rsid w:val="618D05CE"/>
    <w:rsid w:val="623C7376"/>
    <w:rsid w:val="63063EF5"/>
    <w:rsid w:val="63243021"/>
    <w:rsid w:val="63244996"/>
    <w:rsid w:val="63F9408B"/>
    <w:rsid w:val="64815E69"/>
    <w:rsid w:val="64882719"/>
    <w:rsid w:val="64AC5B6B"/>
    <w:rsid w:val="653A413B"/>
    <w:rsid w:val="65B354C1"/>
    <w:rsid w:val="66B707C5"/>
    <w:rsid w:val="66C76995"/>
    <w:rsid w:val="66DA4EE7"/>
    <w:rsid w:val="66DF56BE"/>
    <w:rsid w:val="678058D7"/>
    <w:rsid w:val="69443018"/>
    <w:rsid w:val="695375A4"/>
    <w:rsid w:val="69DD4616"/>
    <w:rsid w:val="69F44D4E"/>
    <w:rsid w:val="6A756F3B"/>
    <w:rsid w:val="6ADD3A80"/>
    <w:rsid w:val="6AE22855"/>
    <w:rsid w:val="6BC61023"/>
    <w:rsid w:val="6DB43658"/>
    <w:rsid w:val="6E4A2C41"/>
    <w:rsid w:val="6EB9032B"/>
    <w:rsid w:val="6F03617D"/>
    <w:rsid w:val="6F843906"/>
    <w:rsid w:val="6FCB3BEE"/>
    <w:rsid w:val="70F168D6"/>
    <w:rsid w:val="711225B3"/>
    <w:rsid w:val="716D6BC3"/>
    <w:rsid w:val="71A75E13"/>
    <w:rsid w:val="72ED6648"/>
    <w:rsid w:val="72FF0D20"/>
    <w:rsid w:val="745D3A76"/>
    <w:rsid w:val="756C46F1"/>
    <w:rsid w:val="75C30245"/>
    <w:rsid w:val="778E4681"/>
    <w:rsid w:val="78091507"/>
    <w:rsid w:val="788D15C7"/>
    <w:rsid w:val="79880B95"/>
    <w:rsid w:val="7BC7517F"/>
    <w:rsid w:val="7BCF61F6"/>
    <w:rsid w:val="7BE74319"/>
    <w:rsid w:val="7C5B3953"/>
    <w:rsid w:val="7CE53BCF"/>
    <w:rsid w:val="7DD0388D"/>
    <w:rsid w:val="7E0A279A"/>
    <w:rsid w:val="7F383F79"/>
    <w:rsid w:val="7F485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26</TotalTime>
  <ScaleCrop>false</ScaleCrop>
  <LinksUpToDate>false</LinksUpToDate>
  <CharactersWithSpaces>2163</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2022-04-18T12:34:55Z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26855577654D4779AED556AE7C30A6C9</vt:lpwstr>
  </property>
</Properties>
</file>