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8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21"/>
        <w:gridCol w:w="6739"/>
        <w:gridCol w:w="13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jc w:val="lef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美的集团武汉制冷设备有限公司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FSMS 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)阶段审核□再认证□监督（）次□证书转换□特殊审核□其他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Cs w:val="18"/>
                <w:highlight w:val="none"/>
              </w:rPr>
              <w:t>查阅公司《能源管理体系手册》，在“5.3组织的岗位、职责和权限”以及“附录2  能源管理体系职责分配表”中未能描述工程部部门职责和职责分配。En7.5/4.5.4.2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工程部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Cs w:val="18"/>
                <w:highlight w:val="none"/>
              </w:rPr>
              <w:t>《能源管理体系手册》</w:t>
            </w:r>
            <w:r>
              <w:rPr>
                <w:rFonts w:hint="eastAsia"/>
                <w:b/>
                <w:bCs/>
                <w:color w:val="000000" w:themeColor="text1"/>
                <w:szCs w:val="18"/>
                <w:highlight w:val="none"/>
                <w:lang w:val="en-US" w:eastAsia="zh-CN"/>
              </w:rPr>
              <w:t>通篇可操作性需要提高，对如此知名企业美的集团公司下属企业来讲有点牵强。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工程部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Cs w:val="18"/>
                <w:highlight w:val="none"/>
                <w:lang w:val="en-US" w:eastAsia="zh-CN"/>
              </w:rPr>
              <w:t>未对主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000000" w:themeColor="text1"/>
                <w:szCs w:val="18"/>
                <w:highlight w:val="none"/>
                <w:lang w:val="en-US" w:eastAsia="zh-CN"/>
              </w:rPr>
              <w:t>要耗能设备的能耗情况进行测试。——问题项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8.1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B组：  </w:t>
      </w:r>
      <w:r>
        <w:rPr>
          <w:rFonts w:hint="eastAsia" w:ascii="方正仿宋简体" w:eastAsia="方正仿宋简体"/>
          <w:b/>
          <w:sz w:val="24"/>
        </w:rPr>
        <w:drawing>
          <wp:inline distT="0" distB="0" distL="114300" distR="114300">
            <wp:extent cx="488950" cy="205105"/>
            <wp:effectExtent l="0" t="0" r="6350" b="635"/>
            <wp:docPr id="2" name="图片 2" descr="王宁敏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王宁敏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  <w:sz w:val="1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396240"/>
          <wp:effectExtent l="0" t="0" r="0" b="0"/>
          <wp:wrapTight wrapText="bothSides">
            <wp:wrapPolygon>
              <wp:start x="6019" y="0"/>
              <wp:lineTo x="2809" y="2077"/>
              <wp:lineTo x="0" y="4985"/>
              <wp:lineTo x="0" y="16200"/>
              <wp:lineTo x="5216" y="19938"/>
              <wp:lineTo x="5216" y="20354"/>
              <wp:lineTo x="9630" y="21185"/>
              <wp:lineTo x="14445" y="21185"/>
              <wp:lineTo x="14846" y="21185"/>
              <wp:lineTo x="20864" y="14538"/>
              <wp:lineTo x="20864" y="5815"/>
              <wp:lineTo x="16050" y="831"/>
              <wp:lineTo x="14043" y="0"/>
              <wp:lineTo x="601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  <w:sz w:val="18"/>
      </w:rPr>
      <w:t>北京国标联合认证有限公司</w:t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</w:p>
  <w:p>
    <w:pPr>
      <w:pStyle w:val="5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_x0000_s4097" o:spid="_x0000_s4097" o:spt="32" type="#_x0000_t32" style="position:absolute;left:0pt;margin-left:-0.05pt;margin-top:21.9pt;height:0pt;width:48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pict>
        <v:shape id="文本框 1" o:spid="_x0000_s4098" o:spt="202" type="#_x0000_t202" style="position:absolute;left:0pt;margin-left:314.05pt;margin-top:2.2pt;height:19.9pt;width:168.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观察项（建议项）03版)</w:t>
                </w:r>
              </w:p>
            </w:txbxContent>
          </v:textbox>
        </v:shape>
      </w:pict>
    </w:r>
    <w:r>
      <w:rPr>
        <w:rStyle w:val="12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7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7ED9"/>
    <w:rsid w:val="00030372"/>
    <w:rsid w:val="001C322F"/>
    <w:rsid w:val="001C7C38"/>
    <w:rsid w:val="002360FB"/>
    <w:rsid w:val="00286528"/>
    <w:rsid w:val="002B50AB"/>
    <w:rsid w:val="00320292"/>
    <w:rsid w:val="003554CC"/>
    <w:rsid w:val="00363860"/>
    <w:rsid w:val="003A1E98"/>
    <w:rsid w:val="00445988"/>
    <w:rsid w:val="004A3264"/>
    <w:rsid w:val="004C37F4"/>
    <w:rsid w:val="00724C03"/>
    <w:rsid w:val="007566E2"/>
    <w:rsid w:val="008F0784"/>
    <w:rsid w:val="009B6A69"/>
    <w:rsid w:val="00A74EE1"/>
    <w:rsid w:val="00A94947"/>
    <w:rsid w:val="00AF024F"/>
    <w:rsid w:val="00BC32FF"/>
    <w:rsid w:val="00C57ED9"/>
    <w:rsid w:val="00C613FF"/>
    <w:rsid w:val="00CB2653"/>
    <w:rsid w:val="00D043C8"/>
    <w:rsid w:val="00D2766E"/>
    <w:rsid w:val="00D55BF5"/>
    <w:rsid w:val="00E46927"/>
    <w:rsid w:val="00E6167F"/>
    <w:rsid w:val="00F265FD"/>
    <w:rsid w:val="00F52BDE"/>
    <w:rsid w:val="00F65B2E"/>
    <w:rsid w:val="00FA3EAC"/>
    <w:rsid w:val="048802EC"/>
    <w:rsid w:val="07C426BC"/>
    <w:rsid w:val="0C8B1454"/>
    <w:rsid w:val="0F4F08BC"/>
    <w:rsid w:val="12874DDD"/>
    <w:rsid w:val="13584936"/>
    <w:rsid w:val="14C640FD"/>
    <w:rsid w:val="15063601"/>
    <w:rsid w:val="155A1F51"/>
    <w:rsid w:val="1CE03774"/>
    <w:rsid w:val="25F843CC"/>
    <w:rsid w:val="27A6171C"/>
    <w:rsid w:val="27C618D4"/>
    <w:rsid w:val="2F252B9E"/>
    <w:rsid w:val="3248585E"/>
    <w:rsid w:val="37FE55FD"/>
    <w:rsid w:val="393105FB"/>
    <w:rsid w:val="3DDD294D"/>
    <w:rsid w:val="3ED76CE3"/>
    <w:rsid w:val="40C6136F"/>
    <w:rsid w:val="40FA29C4"/>
    <w:rsid w:val="42C072CA"/>
    <w:rsid w:val="441D2EAA"/>
    <w:rsid w:val="4422137F"/>
    <w:rsid w:val="46AF0F90"/>
    <w:rsid w:val="4C6A08C5"/>
    <w:rsid w:val="4D9E5399"/>
    <w:rsid w:val="557F5338"/>
    <w:rsid w:val="594E5A0A"/>
    <w:rsid w:val="5C843B76"/>
    <w:rsid w:val="5EBA13B8"/>
    <w:rsid w:val="5EBA16E7"/>
    <w:rsid w:val="5F942334"/>
    <w:rsid w:val="5FC11684"/>
    <w:rsid w:val="61210C1C"/>
    <w:rsid w:val="6722084D"/>
    <w:rsid w:val="672E1DB0"/>
    <w:rsid w:val="67D84A32"/>
    <w:rsid w:val="68743722"/>
    <w:rsid w:val="6907776D"/>
    <w:rsid w:val="6DDB09BD"/>
    <w:rsid w:val="703C0D90"/>
    <w:rsid w:val="70D8031C"/>
    <w:rsid w:val="70FE6818"/>
    <w:rsid w:val="71927CB5"/>
    <w:rsid w:val="73F31EA8"/>
    <w:rsid w:val="750C646B"/>
    <w:rsid w:val="75955408"/>
    <w:rsid w:val="79670132"/>
    <w:rsid w:val="7A09322C"/>
    <w:rsid w:val="7A9F2B60"/>
    <w:rsid w:val="7BAA1671"/>
    <w:rsid w:val="7D04591B"/>
    <w:rsid w:val="7D695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头"/>
    <w:basedOn w:val="1"/>
    <w:next w:val="1"/>
    <w:qFormat/>
    <w:uiPriority w:val="99"/>
    <w:pPr>
      <w:spacing w:beforeLines="50" w:afterLines="20"/>
      <w:jc w:val="center"/>
      <w:textAlignment w:val="center"/>
    </w:pPr>
    <w:rPr>
      <w:rFonts w:ascii="宋体" w:hAnsi="宋体"/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开门大吉～ISO认证服务</cp:lastModifiedBy>
  <dcterms:modified xsi:type="dcterms:W3CDTF">2022-05-25T22:21:42Z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6EEF3D5B1B85492EBA05585B61F4653A</vt:lpwstr>
  </property>
</Properties>
</file>