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91"/>
        <w:gridCol w:w="271"/>
        <w:gridCol w:w="379"/>
        <w:gridCol w:w="171"/>
        <w:gridCol w:w="680"/>
        <w:gridCol w:w="199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美的集团武汉制冷设备有限公司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武汉经济技术开发区40MD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武汉经济技术开发区40MD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高志伟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17835423042</w:t>
            </w:r>
            <w:bookmarkEnd w:id="4"/>
          </w:p>
        </w:tc>
        <w:tc>
          <w:tcPr>
            <w:tcW w:w="6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gaozw12@midea.com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5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65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0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0295-2022-EnMs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7" w:name="现场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空气调节器的设计、制造及销售所涉及的能源管理活动</w:t>
            </w:r>
            <w:bookmarkEnd w:id="23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2.7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RB/T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119-2015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能源管理体系 机械制造企业认证要求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2022年05月18日 上午至2022年05月22日 上午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4.5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远程审核于2022年05月18日 上午至2022年05月22日 上午(共4.5天)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2.7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25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31750</wp:posOffset>
                  </wp:positionV>
                  <wp:extent cx="640715" cy="313690"/>
                  <wp:effectExtent l="0" t="0" r="6985" b="3810"/>
                  <wp:wrapSquare wrapText="bothSides"/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1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19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9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2022.5.17</w:t>
            </w:r>
          </w:p>
        </w:tc>
        <w:tc>
          <w:tcPr>
            <w:tcW w:w="219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2022.5.18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431"/>
        <w:gridCol w:w="1070"/>
        <w:gridCol w:w="4420"/>
        <w:gridCol w:w="1660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05-18</w:t>
            </w:r>
          </w:p>
        </w:tc>
        <w:tc>
          <w:tcPr>
            <w:tcW w:w="143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07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相关人员</w:t>
            </w:r>
          </w:p>
        </w:tc>
        <w:tc>
          <w:tcPr>
            <w:tcW w:w="4420" w:type="dxa"/>
          </w:tcPr>
          <w:p>
            <w:pPr>
              <w:spacing w:line="300" w:lineRule="exact"/>
              <w:ind w:firstLine="1260" w:firstLineChars="6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05-18</w:t>
            </w:r>
          </w:p>
        </w:tc>
        <w:tc>
          <w:tcPr>
            <w:tcW w:w="1431" w:type="dxa"/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070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4420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体系策划过程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及范围</w:t>
            </w:r>
            <w:r>
              <w:rPr>
                <w:rFonts w:hint="eastAsia"/>
                <w:sz w:val="21"/>
                <w:szCs w:val="21"/>
              </w:rPr>
              <w:t>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能源方针、职责分配的</w:t>
            </w:r>
            <w:r>
              <w:rPr>
                <w:rFonts w:hint="eastAsia"/>
                <w:sz w:val="21"/>
                <w:szCs w:val="21"/>
              </w:rPr>
              <w:t>相关过程、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资源提供过程、内外部沟通、管理评审过程、监视和测量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60" w:type="dxa"/>
            <w:shd w:val="clear" w:color="auto" w:fill="FBD4B4" w:themeFill="accent6" w:themeFillTint="66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05-18</w:t>
            </w:r>
          </w:p>
        </w:tc>
        <w:tc>
          <w:tcPr>
            <w:tcW w:w="1431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7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default" w:ascii="楷体_GB2312" w:hAnsi="Times New Roman" w:eastAsia="楷体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现场巡视</w:t>
            </w:r>
          </w:p>
        </w:tc>
        <w:tc>
          <w:tcPr>
            <w:tcW w:w="442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变电所、空压站、以及电表、水表巡视</w:t>
            </w:r>
          </w:p>
        </w:tc>
        <w:tc>
          <w:tcPr>
            <w:tcW w:w="166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6.6/8</w:t>
            </w:r>
            <w:r>
              <w:rPr>
                <w:rFonts w:hint="eastAsia"/>
                <w:sz w:val="21"/>
                <w:szCs w:val="21"/>
              </w:rPr>
              <w:t>.1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05-18</w:t>
            </w:r>
          </w:p>
        </w:tc>
        <w:tc>
          <w:tcPr>
            <w:tcW w:w="1431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7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 xml:space="preserve">工程部 </w:t>
            </w:r>
          </w:p>
        </w:tc>
        <w:tc>
          <w:tcPr>
            <w:tcW w:w="442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能源评审、能源绩效参数、能源基准、能源数据收集的策划、成文信息、运行控制、设计、绩效测量与评价、合规性评价、内审、不符合纠正及纠正措施</w:t>
            </w:r>
          </w:p>
        </w:tc>
        <w:tc>
          <w:tcPr>
            <w:tcW w:w="166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6.4/6.5/6.6/8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/8.2/9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/9.1.2/9.2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  <w:shd w:val="clear" w:color="auto" w:fill="FBD4B4" w:themeFill="accent6" w:themeFillTint="66"/>
          </w:tcPr>
          <w:p>
            <w:pPr>
              <w:snapToGrid w:val="0"/>
              <w:spacing w:line="320" w:lineRule="exact"/>
              <w:ind w:firstLine="4427" w:firstLineChars="2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431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70" w:type="dxa"/>
            <w:shd w:val="clear" w:color="auto" w:fill="FBD4B4" w:themeFill="accent6" w:themeFillTint="66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442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部门职责权限、目标指标、运行控制、采购、不符合纠正及纠正措施</w:t>
            </w:r>
          </w:p>
        </w:tc>
        <w:tc>
          <w:tcPr>
            <w:tcW w:w="166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/8.3/10.1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05-1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43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8:00-17:00</w:t>
            </w:r>
          </w:p>
        </w:tc>
        <w:tc>
          <w:tcPr>
            <w:tcW w:w="1070" w:type="dxa"/>
            <w:shd w:val="clear" w:color="auto" w:fill="C7DAF1" w:themeFill="text2" w:themeFillTint="32"/>
            <w:vAlign w:val="top"/>
          </w:tcPr>
          <w:p>
            <w:pPr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管理部</w:t>
            </w:r>
            <w:bookmarkStart w:id="34" w:name="_GoBack"/>
            <w:bookmarkEnd w:id="34"/>
          </w:p>
        </w:tc>
        <w:tc>
          <w:tcPr>
            <w:tcW w:w="442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风险识别及管控、</w:t>
            </w:r>
            <w:r>
              <w:rPr>
                <w:rFonts w:hint="eastAsia"/>
                <w:sz w:val="21"/>
                <w:szCs w:val="21"/>
              </w:rPr>
              <w:t>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信息交流、不符合纠正及纠正措施</w:t>
            </w:r>
          </w:p>
        </w:tc>
        <w:tc>
          <w:tcPr>
            <w:tcW w:w="166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/7.4/10.1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05-20</w:t>
            </w:r>
          </w:p>
        </w:tc>
        <w:tc>
          <w:tcPr>
            <w:tcW w:w="143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8:00-17:00</w:t>
            </w:r>
          </w:p>
        </w:tc>
        <w:tc>
          <w:tcPr>
            <w:tcW w:w="107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品质部</w:t>
            </w:r>
          </w:p>
        </w:tc>
        <w:tc>
          <w:tcPr>
            <w:tcW w:w="442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部门职责权限、目标指标、不符合纠正及纠正措施</w:t>
            </w:r>
          </w:p>
        </w:tc>
        <w:tc>
          <w:tcPr>
            <w:tcW w:w="166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EnMS:5.3/6.2/8.1/10.1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431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7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电子分厂</w:t>
            </w:r>
          </w:p>
        </w:tc>
        <w:tc>
          <w:tcPr>
            <w:tcW w:w="442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不符合纠正及纠正措施等</w:t>
            </w:r>
          </w:p>
        </w:tc>
        <w:tc>
          <w:tcPr>
            <w:tcW w:w="166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5.3/6.2/7.4/8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431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7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总钣分厂</w:t>
            </w:r>
          </w:p>
        </w:tc>
        <w:tc>
          <w:tcPr>
            <w:tcW w:w="442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不符合纠正及纠正措施等</w:t>
            </w:r>
          </w:p>
        </w:tc>
        <w:tc>
          <w:tcPr>
            <w:tcW w:w="166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5.3/6.2/7.4/8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color w:val="auto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431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7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内机分厂</w:t>
            </w:r>
          </w:p>
        </w:tc>
        <w:tc>
          <w:tcPr>
            <w:tcW w:w="442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不符合纠正及纠正措施等</w:t>
            </w:r>
          </w:p>
        </w:tc>
        <w:tc>
          <w:tcPr>
            <w:tcW w:w="166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5.3/6.2/7.4/8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431" w:type="dxa"/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07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外机分厂</w:t>
            </w:r>
          </w:p>
        </w:tc>
        <w:tc>
          <w:tcPr>
            <w:tcW w:w="442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不符合纠正及纠正措施等</w:t>
            </w:r>
          </w:p>
        </w:tc>
        <w:tc>
          <w:tcPr>
            <w:tcW w:w="1660" w:type="dxa"/>
            <w:shd w:val="clear" w:color="auto" w:fill="FBD4B4" w:themeFill="accent6" w:themeFillTint="66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5.3/6.2/7.4/8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FBD4B4" w:themeFill="accent6" w:themeFillTint="66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43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070" w:type="dxa"/>
            <w:shd w:val="clear" w:color="auto" w:fill="C7DAF1" w:themeFill="text2" w:themeFillTint="32"/>
          </w:tcPr>
          <w:p>
            <w:pPr>
              <w:rPr>
                <w:rFonts w:hint="eastAsia" w:eastAsia="楷体_GB2312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楷体_GB2312" w:eastAsia="楷体_GB2312"/>
                <w:sz w:val="21"/>
                <w:szCs w:val="21"/>
              </w:rPr>
              <w:t>部</w:t>
            </w:r>
          </w:p>
        </w:tc>
        <w:tc>
          <w:tcPr>
            <w:tcW w:w="442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能源资金支持（能源使用票据）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</w:t>
            </w:r>
          </w:p>
        </w:tc>
        <w:tc>
          <w:tcPr>
            <w:tcW w:w="166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1/10.1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43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7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 xml:space="preserve">工程部 </w:t>
            </w:r>
          </w:p>
        </w:tc>
        <w:tc>
          <w:tcPr>
            <w:tcW w:w="442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部门职责权限、目标指标、成文信息、内审、不符合纠正及纠正措施</w:t>
            </w:r>
          </w:p>
        </w:tc>
        <w:tc>
          <w:tcPr>
            <w:tcW w:w="1660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MS:5.3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/7.5/10.1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878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ind w:firstLine="4200" w:firstLineChars="20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05-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431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107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部装分厂</w:t>
            </w:r>
          </w:p>
        </w:tc>
        <w:tc>
          <w:tcPr>
            <w:tcW w:w="442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不符合纠正及纠正措施等</w:t>
            </w:r>
          </w:p>
        </w:tc>
        <w:tc>
          <w:tcPr>
            <w:tcW w:w="166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5.3/6.2/7.4/8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43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10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1"/>
                <w:szCs w:val="21"/>
                <w:lang w:val="en-US" w:eastAsia="zh-CN"/>
              </w:rPr>
              <w:t>智能物流部</w:t>
            </w:r>
          </w:p>
        </w:tc>
        <w:tc>
          <w:tcPr>
            <w:tcW w:w="442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部门职责权限、目标指标、运行控制、不符合纠正及纠正措施</w:t>
            </w:r>
          </w:p>
        </w:tc>
        <w:tc>
          <w:tcPr>
            <w:tcW w:w="1660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1/10.1</w:t>
            </w:r>
          </w:p>
        </w:tc>
        <w:tc>
          <w:tcPr>
            <w:tcW w:w="8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B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78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43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107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20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内部沟通、</w:t>
            </w:r>
            <w:r>
              <w:rPr>
                <w:rFonts w:hint="eastAsia"/>
                <w:sz w:val="21"/>
                <w:szCs w:val="21"/>
              </w:rPr>
              <w:t>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</w:p>
        </w:tc>
        <w:tc>
          <w:tcPr>
            <w:tcW w:w="166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431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20" w:type="dxa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66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431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07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42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60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86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87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442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每天12:00-13:00午餐+午休时间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7C5682"/>
    <w:rsid w:val="117D700E"/>
    <w:rsid w:val="1F17146C"/>
    <w:rsid w:val="2CC15065"/>
    <w:rsid w:val="36627F98"/>
    <w:rsid w:val="48E21985"/>
    <w:rsid w:val="4B620153"/>
    <w:rsid w:val="50295F56"/>
    <w:rsid w:val="530E7A1B"/>
    <w:rsid w:val="544A0BD3"/>
    <w:rsid w:val="56215C24"/>
    <w:rsid w:val="601C7D62"/>
    <w:rsid w:val="6AFB2D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2022-05-25T14:46:28Z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2052-11.1.0.11411</vt:lpwstr>
  </property>
</Properties>
</file>