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美的集团武汉暖通设备有限公司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En：2.7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En：2.7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color w:val="000000" w:themeColor="text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-1569720</wp:posOffset>
                  </wp:positionV>
                  <wp:extent cx="4839335" cy="2045335"/>
                  <wp:effectExtent l="0" t="0" r="12065" b="12065"/>
                  <wp:wrapSquare wrapText="bothSides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9335" cy="204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主要能源使用：电力、天然气、柴油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主要能源参数：综合能耗tce、单位产品综合能耗kgce/万套、单位产值综合能耗kgce/万元</w:t>
            </w:r>
            <w:bookmarkStart w:id="0" w:name="_GoBack"/>
            <w:bookmarkEnd w:id="0"/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B4380 金属冲压件通用技术条件、B4380 金属冲压件通用技术条件 、GB/T13914-2002 冲压件尺寸公差 、GB/T13915-2002 冲压件角度公差 、GB/T13916-2002 形状和位置未注公差 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《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instrText xml:space="preserve"> HYPERLINK "javascript:SLC(40273,0)" </w:instrTex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中华人民共和国节约能源法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》、《中华人民共和国清洁生产促进法》、《中华人民共和国可再生能源法》；工业余热术语 、分类、等级及余热资源量计算方法GB/T 1028-2000；用能设备能量平衡通则GB/T 2587-2009；节约用电管理办法（国经贸资源〔2000〕1256号）、RBT119-2015能源管理体系 机械制造企业认证要求；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161925</wp:posOffset>
                  </wp:positionV>
                  <wp:extent cx="640715" cy="313690"/>
                  <wp:effectExtent l="0" t="0" r="6985" b="3810"/>
                  <wp:wrapSquare wrapText="bothSides"/>
                  <wp:docPr id="1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D ISC-B-I-0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8A13B82"/>
    <w:rsid w:val="2F997F95"/>
    <w:rsid w:val="42D37EF9"/>
    <w:rsid w:val="56CE15C7"/>
    <w:rsid w:val="5A0D65BC"/>
    <w:rsid w:val="75C66D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2022-05-27T14:36:35Z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2052-11.1.0.11411</vt:lpwstr>
  </property>
</Properties>
</file>