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0345-2022-EnMs</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浙江南方智慧水务有限公司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lang w:val="en-US" w:eastAsia="zh-CN"/>
        </w:rPr>
        <w:t>能源</w:t>
      </w:r>
      <w:r>
        <w:rPr>
          <w:rFonts w:hint="eastAsia"/>
          <w:sz w:val="28"/>
          <w:szCs w:val="28"/>
        </w:rPr>
        <w:t>管理体系（</w:t>
      </w:r>
      <w:r>
        <w:rPr>
          <w:sz w:val="28"/>
          <w:szCs w:val="28"/>
        </w:rPr>
        <w:t>E</w:t>
      </w:r>
      <w:r>
        <w:rPr>
          <w:rFonts w:hint="eastAsia"/>
          <w:sz w:val="28"/>
          <w:szCs w:val="28"/>
          <w:lang w:val="en-US" w:eastAsia="zh-CN"/>
        </w:rPr>
        <w:t>n</w:t>
      </w:r>
      <w:r>
        <w:rPr>
          <w:sz w:val="28"/>
          <w:szCs w:val="28"/>
        </w:rPr>
        <w:t>MS</w:t>
      </w:r>
      <w:r>
        <w:rPr>
          <w:rFonts w:hint="eastAsia"/>
          <w:sz w:val="28"/>
          <w:szCs w:val="28"/>
        </w:rPr>
        <w:t>）</w:t>
      </w:r>
    </w:p>
    <w:p>
      <w:pPr>
        <w:pStyle w:val="2"/>
      </w:pP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浙江南方智慧水务有限公司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浙江省杭州市临平区东湖街道临平经济开发区恒毅街20号7幢2楼201</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浙江省杭州市临平区东湖街道临平经济开发区恒毅街20号7幢2楼201</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娄梦蝶</w:t>
            </w:r>
            <w:bookmarkEnd w:id="10"/>
          </w:p>
        </w:tc>
        <w:tc>
          <w:tcPr>
            <w:tcW w:w="1313" w:type="dxa"/>
            <w:vAlign w:val="center"/>
          </w:tcPr>
          <w:p>
            <w:r>
              <w:rPr>
                <w:rFonts w:hint="eastAsia"/>
              </w:rPr>
              <w:t>电话.</w:t>
            </w:r>
          </w:p>
        </w:tc>
        <w:tc>
          <w:tcPr>
            <w:tcW w:w="2180" w:type="dxa"/>
            <w:vAlign w:val="center"/>
          </w:tcPr>
          <w:p>
            <w:bookmarkStart w:id="11" w:name="联系人电话"/>
            <w:r>
              <w:t>15867161229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丁国强</w:t>
            </w:r>
            <w:bookmarkEnd w:id="13"/>
          </w:p>
        </w:tc>
        <w:tc>
          <w:tcPr>
            <w:tcW w:w="1313" w:type="dxa"/>
            <w:vAlign w:val="center"/>
          </w:tcPr>
          <w:p>
            <w:r>
              <w:rPr>
                <w:rFonts w:hint="eastAsia"/>
              </w:rPr>
              <w:t>管理者代表</w:t>
            </w:r>
          </w:p>
        </w:tc>
        <w:tc>
          <w:tcPr>
            <w:tcW w:w="2180" w:type="dxa"/>
          </w:tcPr>
          <w:p>
            <w:bookmarkStart w:id="14" w:name="管理者代表"/>
            <w:r>
              <w:t>丁国强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center"/>
          </w:tcPr>
          <w:p>
            <w:pPr>
              <w:rPr>
                <w:rFonts w:hint="eastAsia" w:eastAsia="宋体"/>
                <w:color w:val="000000"/>
                <w:szCs w:val="18"/>
                <w:lang w:eastAsia="zh-CN"/>
              </w:rPr>
            </w:pPr>
            <w:r>
              <w:rPr>
                <w:rFonts w:hint="eastAsia"/>
                <w:color w:val="000000"/>
                <w:szCs w:val="18"/>
              </w:rPr>
              <w:t>恒压变频供水设备工艺流程图</w:t>
            </w:r>
            <w:r>
              <w:rPr>
                <w:rFonts w:hint="eastAsia"/>
                <w:color w:val="000000"/>
                <w:szCs w:val="18"/>
                <w:lang w:eastAsia="zh-CN"/>
              </w:rPr>
              <w:t>：</w:t>
            </w:r>
          </w:p>
          <w:p>
            <w:r>
              <w:drawing>
                <wp:inline distT="0" distB="0" distL="114300" distR="114300">
                  <wp:extent cx="4959350" cy="27019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59350" cy="2701925"/>
                          </a:xfrm>
                          <a:prstGeom prst="rect">
                            <a:avLst/>
                          </a:prstGeom>
                          <a:noFill/>
                          <a:ln>
                            <a:noFill/>
                          </a:ln>
                        </pic:spPr>
                      </pic:pic>
                    </a:graphicData>
                  </a:graphic>
                </wp:inline>
              </w:drawing>
            </w:r>
          </w:p>
          <w:p>
            <w:pPr>
              <w:rPr>
                <w:rFonts w:hint="eastAsia"/>
              </w:rPr>
            </w:pPr>
          </w:p>
          <w:p>
            <w:pPr>
              <w:rPr>
                <w:rFonts w:hint="eastAsia"/>
                <w:lang w:eastAsia="zh-CN"/>
              </w:rPr>
            </w:pPr>
            <w:r>
              <w:rPr>
                <w:rFonts w:hint="eastAsia"/>
              </w:rPr>
              <w:t>一体化净水处理设备工艺流程图</w:t>
            </w:r>
            <w:r>
              <w:rPr>
                <w:rFonts w:hint="eastAsia"/>
                <w:lang w:eastAsia="zh-CN"/>
              </w:rPr>
              <w:t>：</w:t>
            </w:r>
          </w:p>
          <w:p>
            <w:pPr>
              <w:rPr>
                <w:rFonts w:hint="eastAsia"/>
                <w:lang w:eastAsia="zh-CN"/>
              </w:rPr>
            </w:pPr>
            <w:r>
              <w:drawing>
                <wp:inline distT="0" distB="0" distL="114300" distR="114300">
                  <wp:extent cx="4953000" cy="31445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953000" cy="3144520"/>
                          </a:xfrm>
                          <a:prstGeom prst="rect">
                            <a:avLst/>
                          </a:prstGeom>
                          <a:noFill/>
                          <a:ln>
                            <a:noFill/>
                          </a:ln>
                        </pic:spPr>
                      </pic:pic>
                    </a:graphicData>
                  </a:graphic>
                </wp:inline>
              </w:drawing>
            </w:r>
          </w:p>
          <w:p>
            <w:pPr>
              <w:rPr>
                <w:color w:val="000000"/>
              </w:rPr>
            </w:pPr>
          </w:p>
          <w:p>
            <w:pPr>
              <w:rPr>
                <w:rFonts w:hint="eastAsia"/>
                <w:color w:val="000000"/>
                <w:lang w:eastAsia="zh-CN"/>
              </w:rPr>
            </w:pPr>
            <w:r>
              <w:rPr>
                <w:rFonts w:hint="eastAsia"/>
                <w:color w:val="000000"/>
              </w:rPr>
              <w:t>一体化污水处理设备工艺流程图</w:t>
            </w:r>
            <w:r>
              <w:rPr>
                <w:rFonts w:hint="eastAsia"/>
                <w:color w:val="000000"/>
                <w:lang w:eastAsia="zh-CN"/>
              </w:rPr>
              <w:t>：</w:t>
            </w:r>
          </w:p>
          <w:p>
            <w:r>
              <w:drawing>
                <wp:inline distT="0" distB="0" distL="114300" distR="114300">
                  <wp:extent cx="4869180" cy="1999615"/>
                  <wp:effectExtent l="0" t="0" r="762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869180" cy="1999615"/>
                          </a:xfrm>
                          <a:prstGeom prst="rect">
                            <a:avLst/>
                          </a:prstGeom>
                          <a:noFill/>
                          <a:ln>
                            <a:noFill/>
                          </a:ln>
                        </pic:spPr>
                      </pic:pic>
                    </a:graphicData>
                  </a:graphic>
                </wp:inline>
              </w:drawing>
            </w:r>
          </w:p>
          <w:p>
            <w:pPr>
              <w:rPr>
                <w:rFonts w:hint="eastAsia"/>
                <w:lang w:eastAsia="zh-CN"/>
              </w:rPr>
            </w:pPr>
            <w:r>
              <w:rPr>
                <w:rFonts w:hint="eastAsia"/>
              </w:rPr>
              <w:t>一体化预制泵站工艺流程图</w:t>
            </w:r>
            <w:r>
              <w:rPr>
                <w:rFonts w:hint="eastAsia"/>
                <w:lang w:eastAsia="zh-CN"/>
              </w:rPr>
              <w:t>：</w:t>
            </w:r>
          </w:p>
          <w:p>
            <w:pPr>
              <w:rPr>
                <w:rFonts w:hint="eastAsia" w:ascii="Times New Roman" w:hAnsi="Times New Roman" w:eastAsia="宋体" w:cs="Times New Roman"/>
                <w:kern w:val="2"/>
                <w:sz w:val="21"/>
                <w:szCs w:val="24"/>
                <w:lang w:val="en-US" w:eastAsia="zh-CN" w:bidi="ar-SA"/>
              </w:rPr>
            </w:pPr>
            <w:r>
              <w:drawing>
                <wp:inline distT="0" distB="0" distL="114300" distR="114300">
                  <wp:extent cx="5022850" cy="2546350"/>
                  <wp:effectExtent l="0" t="0" r="6350" b="635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5022850" cy="254635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2022年04月27日 下午至2022年04月30日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3"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rPr>
                <w:rFonts w:hint="eastAsia" w:ascii="宋体" w:hAnsi="宋体"/>
                <w:b/>
                <w:color w:val="000000"/>
                <w:szCs w:val="21"/>
                <w:lang w:val="de-DE"/>
              </w:rPr>
            </w:pPr>
            <w:r>
              <w:rPr>
                <w:rFonts w:hint="eastAsia"/>
                <w:lang w:val="de-DE" w:eastAsia="zh-CN"/>
              </w:rPr>
              <w:t>☑</w:t>
            </w:r>
            <w:r>
              <w:rPr>
                <w:rFonts w:hint="eastAsia" w:ascii="宋体" w:hAnsi="宋体"/>
                <w:b/>
                <w:color w:val="000000"/>
                <w:szCs w:val="21"/>
                <w:lang w:val="de-DE"/>
              </w:rPr>
              <w:t xml:space="preserve">GB/T 23331-2021 </w:t>
            </w:r>
          </w:p>
          <w:p>
            <w:pPr>
              <w:rPr>
                <w:rFonts w:hint="default" w:ascii="宋体" w:hAnsi="宋体" w:eastAsia="宋体" w:cs="Times New Roman"/>
                <w:b/>
                <w:color w:val="000000"/>
                <w:szCs w:val="21"/>
                <w:lang w:val="en-US"/>
              </w:rPr>
            </w:pPr>
            <w:r>
              <w:rPr>
                <w:rFonts w:hint="eastAsia"/>
                <w:lang w:val="de-DE" w:eastAsia="zh-CN"/>
              </w:rPr>
              <w:t>☑</w:t>
            </w:r>
            <w:r>
              <w:rPr>
                <w:rFonts w:hint="eastAsia" w:ascii="宋体" w:hAnsi="宋体" w:eastAsia="宋体" w:cs="Times New Roman"/>
                <w:b/>
                <w:color w:val="000000"/>
                <w:szCs w:val="21"/>
                <w:lang w:val="de-DE"/>
              </w:rPr>
              <w:t xml:space="preserve">RB/T </w:t>
            </w:r>
            <w:r>
              <w:rPr>
                <w:rFonts w:hint="eastAsia" w:ascii="宋体" w:hAnsi="宋体" w:eastAsia="宋体" w:cs="Times New Roman"/>
                <w:b/>
                <w:color w:val="000000"/>
                <w:szCs w:val="21"/>
                <w:lang w:val="en-US" w:eastAsia="zh-CN"/>
              </w:rPr>
              <w:t>119-2015能源管理体系  机械制造企业认证要求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rFonts w:hint="eastAsia"/>
                <w:lang w:val="de-DE"/>
              </w:rPr>
            </w:pPr>
            <w:r>
              <w:rPr>
                <w:rFonts w:hint="eastAsia"/>
                <w:lang w:val="de-DE" w:eastAsia="zh-CN"/>
              </w:rPr>
              <w:t>☑</w:t>
            </w:r>
            <w:r>
              <w:rPr>
                <w:rFonts w:hint="eastAsia"/>
                <w:lang w:val="de-DE"/>
              </w:rPr>
              <w:t>适用于受审核方的法律法规及其他要求</w:t>
            </w:r>
          </w:p>
          <w:p>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周涛（山东省济宁市）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二次增压供水设备、一体化预制泵站、一体化净水设备、一体化污水处理设备的生产所涉及的能源管理活动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4"/>
        <w:gridCol w:w="586"/>
        <w:gridCol w:w="2149"/>
        <w:gridCol w:w="18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6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8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149"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pStyle w:val="20"/>
              <w:rPr>
                <w:rFonts w:hint="eastAsia" w:ascii="宋体" w:hAnsi="宋体" w:cs="宋体"/>
                <w:color w:val="000000"/>
                <w:kern w:val="0"/>
                <w:szCs w:val="21"/>
                <w:lang w:val="en-US" w:eastAsia="zh-CN"/>
              </w:rPr>
            </w:pPr>
            <w:r>
              <w:rPr>
                <w:rFonts w:hint="eastAsia" w:ascii="宋体" w:hAnsi="宋体" w:cs="宋体"/>
                <w:color w:val="000000"/>
                <w:kern w:val="0"/>
                <w:szCs w:val="21"/>
              </w:rPr>
              <w:t>浙江南方智慧水务有限公司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浙江省杭州市临平区东湖街道临平经济开发区恒毅街20号7幢2楼201</w:t>
            </w:r>
          </w:p>
        </w:tc>
        <w:tc>
          <w:tcPr>
            <w:tcW w:w="1764" w:type="dxa"/>
          </w:tcPr>
          <w:p>
            <w:pPr>
              <w:pStyle w:val="20"/>
              <w:rPr>
                <w:rFonts w:hint="eastAsia" w:ascii="宋体" w:hAnsi="宋体" w:cs="宋体"/>
                <w:color w:val="000000"/>
                <w:kern w:val="0"/>
                <w:szCs w:val="21"/>
                <w:lang w:val="de-DE" w:eastAsia="ja-JP"/>
              </w:rPr>
            </w:pPr>
            <w:r>
              <w:rPr>
                <w:rFonts w:hint="eastAsia" w:ascii="宋体" w:hAnsi="宋体" w:cs="宋体"/>
                <w:color w:val="000000"/>
                <w:kern w:val="0"/>
                <w:szCs w:val="21"/>
              </w:rPr>
              <w:t>浙江省杭州市临平区东湖街道临平经济开发区恒毅街20号7幢2楼201</w:t>
            </w:r>
          </w:p>
        </w:tc>
        <w:tc>
          <w:tcPr>
            <w:tcW w:w="586" w:type="dxa"/>
            <w:vAlign w:val="center"/>
          </w:tcPr>
          <w:p>
            <w:pPr>
              <w:pStyle w:val="2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25</w:t>
            </w:r>
          </w:p>
        </w:tc>
        <w:tc>
          <w:tcPr>
            <w:tcW w:w="2149" w:type="dxa"/>
            <w:vAlign w:val="center"/>
          </w:tcPr>
          <w:p>
            <w:pPr>
              <w:pStyle w:val="20"/>
              <w:rPr>
                <w:rFonts w:hint="eastAsia" w:ascii="宋体" w:hAnsi="宋体" w:cs="宋体"/>
                <w:color w:val="000000"/>
                <w:kern w:val="0"/>
                <w:szCs w:val="21"/>
                <w:lang w:val="en-US" w:eastAsia="ja-JP"/>
              </w:rPr>
            </w:pPr>
            <w:r>
              <w:rPr>
                <w:rFonts w:hint="eastAsia" w:ascii="宋体" w:hAnsi="宋体" w:cs="宋体"/>
                <w:color w:val="000000"/>
                <w:kern w:val="0"/>
                <w:szCs w:val="21"/>
              </w:rPr>
              <w:t>二次增压供水设备、一体化预制泵站、一体化净水设备、一体化污水处理设备的生产所涉及的能源管理活动；</w:t>
            </w:r>
          </w:p>
        </w:tc>
        <w:tc>
          <w:tcPr>
            <w:tcW w:w="1811" w:type="dxa"/>
            <w:vAlign w:val="center"/>
          </w:tcPr>
          <w:p>
            <w:pPr>
              <w:pStyle w:val="20"/>
              <w:rPr>
                <w:rFonts w:hint="eastAsia" w:ascii="宋体" w:hAnsi="宋体" w:cs="宋体"/>
                <w:color w:val="000000"/>
                <w:kern w:val="0"/>
                <w:szCs w:val="21"/>
                <w:lang w:val="de-DE"/>
              </w:rPr>
            </w:pPr>
            <w:r>
              <w:rPr>
                <w:rFonts w:hint="eastAsia" w:ascii="宋体" w:hAnsi="宋体" w:cs="宋体"/>
                <w:color w:val="000000"/>
                <w:kern w:val="0"/>
                <w:szCs w:val="21"/>
                <w:lang w:val="de-DE"/>
              </w:rPr>
              <w:t xml:space="preserve">GB/T 23331-2021 </w:t>
            </w:r>
          </w:p>
          <w:p>
            <w:pPr>
              <w:pStyle w:val="20"/>
              <w:rPr>
                <w:rFonts w:hint="eastAsia" w:ascii="宋体" w:hAnsi="宋体" w:cs="宋体"/>
                <w:color w:val="000000"/>
                <w:kern w:val="0"/>
                <w:szCs w:val="21"/>
                <w:lang w:eastAsia="ja-JP"/>
              </w:rPr>
            </w:pPr>
            <w:r>
              <w:rPr>
                <w:rFonts w:hint="eastAsia" w:ascii="宋体" w:hAnsi="宋体" w:cs="宋体"/>
                <w:color w:val="000000"/>
                <w:kern w:val="0"/>
                <w:szCs w:val="21"/>
              </w:rPr>
              <w:t xml:space="preserve">RB/T </w:t>
            </w:r>
            <w:r>
              <w:rPr>
                <w:rFonts w:hint="eastAsia" w:ascii="宋体" w:hAnsi="宋体" w:cs="宋体"/>
                <w:color w:val="000000"/>
                <w:kern w:val="0"/>
                <w:szCs w:val="21"/>
                <w:lang w:val="en-US" w:eastAsia="zh-CN"/>
              </w:rPr>
              <w: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w:t>
      </w:r>
      <w:r>
        <w:rPr>
          <w:rFonts w:hint="eastAsia"/>
          <w:lang w:val="en-US" w:eastAsia="zh-CN"/>
        </w:rPr>
        <w:t>n</w:t>
      </w:r>
      <w:r>
        <w:rPr>
          <w:rFonts w:hint="eastAsia"/>
        </w:rPr>
        <w:t>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rPr>
              <w:t>E</w:t>
            </w:r>
            <w:r>
              <w:rPr>
                <w:rFonts w:hint="eastAsia"/>
                <w:lang w:val="en-US" w:eastAsia="zh-CN"/>
              </w:rPr>
              <w:t>n</w:t>
            </w:r>
            <w:r>
              <w:rPr>
                <w:rFonts w:hint="eastAsia"/>
              </w:rPr>
              <w:t>MS</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w:t>
            </w:r>
          </w:p>
        </w:tc>
        <w:tc>
          <w:tcPr>
            <w:tcW w:w="156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tc>
        <w:tc>
          <w:tcPr>
            <w:tcW w:w="8350" w:type="dxa"/>
            <w:gridSpan w:val="2"/>
            <w:shd w:val="clear" w:color="auto" w:fill="auto"/>
          </w:tcPr>
          <w:p>
            <w:pPr>
              <w:rPr>
                <w:rFonts w:hint="eastAsia"/>
              </w:rPr>
            </w:pPr>
            <w:r>
              <w:rPr>
                <w:rFonts w:hint="eastAsia"/>
                <w:lang w:eastAsia="zh-CN"/>
              </w:rPr>
              <w:t>☑</w:t>
            </w:r>
            <w:r>
              <w:rPr>
                <w:rFonts w:hint="eastAsia"/>
              </w:rPr>
              <w:t>E</w:t>
            </w:r>
            <w:r>
              <w:rPr>
                <w:rFonts w:hint="eastAsia"/>
                <w:lang w:val="en-US" w:eastAsia="zh-CN"/>
              </w:rPr>
              <w:t>n</w:t>
            </w:r>
            <w:r>
              <w:rPr>
                <w:rFonts w:hint="eastAsia"/>
              </w:rPr>
              <w:t>MS基本满足GB/T2</w:t>
            </w:r>
            <w:r>
              <w:rPr>
                <w:rFonts w:hint="eastAsia"/>
                <w:lang w:val="en-US" w:eastAsia="zh-CN"/>
              </w:rPr>
              <w:t>333</w:t>
            </w:r>
            <w:r>
              <w:rPr>
                <w:rFonts w:hint="eastAsia"/>
              </w:rPr>
              <w:t>1-20</w:t>
            </w:r>
            <w:r>
              <w:rPr>
                <w:rFonts w:hint="eastAsia"/>
                <w:lang w:val="en-US" w:eastAsia="zh-CN"/>
              </w:rPr>
              <w:t>20</w:t>
            </w:r>
            <w:r>
              <w:rPr>
                <w:rFonts w:hint="eastAsia"/>
              </w:rPr>
              <w:t>/ISO</w:t>
            </w:r>
            <w:r>
              <w:rPr>
                <w:rFonts w:hint="eastAsia"/>
                <w:lang w:val="en-US" w:eastAsia="zh-CN"/>
              </w:rPr>
              <w:t>50</w:t>
            </w:r>
            <w:r>
              <w:rPr>
                <w:rFonts w:hint="eastAsia"/>
              </w:rPr>
              <w:t>001:201</w:t>
            </w:r>
            <w:r>
              <w:rPr>
                <w:rFonts w:hint="eastAsia"/>
                <w:lang w:val="en-US" w:eastAsia="zh-CN"/>
              </w:rPr>
              <w:t>8</w:t>
            </w:r>
            <w:r>
              <w:rPr>
                <w:rFonts w:hint="eastAsia"/>
              </w:rPr>
              <w:t>标准的要求，建立了自我完善机制，</w:t>
            </w:r>
            <w:r>
              <w:rPr>
                <w:rFonts w:hint="eastAsia"/>
                <w:lang w:val="en-US" w:eastAsia="zh-CN"/>
              </w:rPr>
              <w:t>能源</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E</w:t>
            </w:r>
            <w:r>
              <w:rPr>
                <w:rFonts w:hint="eastAsia"/>
                <w:lang w:val="en-US" w:eastAsia="zh-CN"/>
              </w:rPr>
              <w:t>n</w:t>
            </w:r>
            <w:r>
              <w:rPr>
                <w:rFonts w:hint="eastAsia"/>
              </w:rPr>
              <w:t>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sz w:val="21"/>
                <w:lang w:val="en-US" w:eastAsia="zh-CN"/>
              </w:rPr>
              <w:drawing>
                <wp:anchor distT="0" distB="0" distL="114300" distR="114300" simplePos="0" relativeHeight="251662336" behindDoc="0" locked="0" layoutInCell="1" allowOverlap="1">
                  <wp:simplePos x="0" y="0"/>
                  <wp:positionH relativeFrom="column">
                    <wp:posOffset>753745</wp:posOffset>
                  </wp:positionH>
                  <wp:positionV relativeFrom="paragraph">
                    <wp:posOffset>-2884170</wp:posOffset>
                  </wp:positionV>
                  <wp:extent cx="640715" cy="348615"/>
                  <wp:effectExtent l="0" t="0" r="6985" b="6985"/>
                  <wp:wrapSquare wrapText="bothSides"/>
                  <wp:docPr id="1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0e01075ba2fecce7a326c4f9b0d154f"/>
                          <pic:cNvPicPr>
                            <a:picLocks noChangeAspect="1"/>
                          </pic:cNvPicPr>
                        </pic:nvPicPr>
                        <pic:blipFill>
                          <a:blip r:embed="rId10"/>
                          <a:stretch>
                            <a:fillRect/>
                          </a:stretch>
                        </pic:blipFill>
                        <pic:spPr>
                          <a:xfrm>
                            <a:off x="0" y="0"/>
                            <a:ext cx="640715" cy="3486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2022.4.30</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EnMS体系建立以来   </w:t>
            </w:r>
            <w:r>
              <w:rPr>
                <w:rFonts w:hint="eastAsia"/>
                <w:highlight w:val="none"/>
                <w:lang w:eastAsia="zh-CN"/>
              </w:rPr>
              <w:t>☑</w:t>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□文化 □社会 □经济环境 </w:t>
                  </w:r>
                </w:p>
                <w:p>
                  <w:pPr>
                    <w:shd w:val="clear" w:color="auto" w:fill="EBF1DE" w:themeFill="accent3" w:themeFillTint="32"/>
                    <w:rPr>
                      <w:highlight w:val="none"/>
                    </w:rPr>
                  </w:pPr>
                  <w:r>
                    <w:rPr>
                      <w:rFonts w:hint="eastAsia"/>
                      <w:highlight w:val="none"/>
                    </w:rPr>
                    <w:t xml:space="preserve">□政治 □监管  □财务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□工艺 □设备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w:t>
            </w:r>
            <w:r>
              <w:rPr>
                <w:rFonts w:hint="eastAsia"/>
                <w:highlight w:val="none"/>
                <w:lang w:eastAsia="zh-CN"/>
              </w:rPr>
              <w:t>☑</w:t>
            </w:r>
            <w:r>
              <w:rPr>
                <w:rFonts w:hint="eastAsia"/>
                <w:highlight w:val="none"/>
              </w:rPr>
              <w:t xml:space="preserve">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rFonts w:hint="default" w:eastAsia="宋体"/>
                <w:highlight w:val="none"/>
                <w:lang w:val="en-US" w:eastAsia="zh-CN"/>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□满足限额要求 </w:t>
            </w:r>
            <w:r>
              <w:rPr>
                <w:rFonts w:hint="eastAsia"/>
                <w:highlight w:val="none"/>
                <w:lang w:eastAsia="zh-CN"/>
              </w:rPr>
              <w:t>☑</w:t>
            </w:r>
            <w:r>
              <w:rPr>
                <w:rFonts w:hint="eastAsia"/>
                <w:highlight w:val="none"/>
              </w:rPr>
              <w:t xml:space="preserve">主要用能设备管理  </w:t>
            </w:r>
            <w:r>
              <w:rPr>
                <w:rFonts w:hint="eastAsia"/>
                <w:highlight w:val="none"/>
                <w:lang w:eastAsia="zh-CN"/>
              </w:rPr>
              <w:t>☑</w:t>
            </w:r>
            <w:r>
              <w:rPr>
                <w:rFonts w:hint="eastAsia"/>
                <w:highlight w:val="none"/>
                <w:lang w:val="en-US" w:eastAsia="zh-CN"/>
              </w:rPr>
              <w:t>能耗测量</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□生产/服务过程 □能效监测 </w:t>
            </w:r>
            <w:r>
              <w:rPr>
                <w:rFonts w:hint="eastAsia"/>
                <w:highlight w:val="none"/>
                <w:lang w:eastAsia="zh-CN"/>
              </w:rPr>
              <w:t>□</w:t>
            </w:r>
            <w:r>
              <w:rPr>
                <w:rFonts w:hint="eastAsia"/>
                <w:highlight w:val="none"/>
              </w:rPr>
              <w:t>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widowControl/>
              <w:spacing w:before="40"/>
              <w:jc w:val="left"/>
              <w:rPr>
                <w:color w:val="000000" w:themeColor="text1"/>
                <w:szCs w:val="18"/>
              </w:rPr>
            </w:pPr>
            <w:r>
              <w:rPr>
                <w:rFonts w:hint="eastAsia"/>
                <w:highlight w:val="none"/>
              </w:rPr>
              <w:t>最高管理者制定了文件化的管理体系方针：</w:t>
            </w:r>
            <w:r>
              <w:rPr>
                <w:rFonts w:hint="eastAsia"/>
                <w:highlight w:val="none"/>
                <w:u w:val="single"/>
              </w:rPr>
              <w:t xml:space="preserve"> </w:t>
            </w:r>
            <w:r>
              <w:rPr>
                <w:rFonts w:hint="eastAsia" w:ascii="Times New Roman" w:hAnsi="Times New Roman" w:eastAsia="宋体" w:cs="Times New Roman"/>
                <w:color w:val="000000"/>
                <w:szCs w:val="18"/>
                <w:u w:val="single"/>
              </w:rPr>
              <w:t>遵守法规</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清洁生产</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提高能效</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持续改进。</w:t>
            </w:r>
          </w:p>
          <w:p>
            <w:pPr>
              <w:widowControl/>
              <w:ind w:firstLine="480"/>
              <w:rPr>
                <w:rFonts w:hint="eastAsia" w:eastAsia="宋体"/>
                <w:highlight w:val="none"/>
                <w:u w:val="single"/>
                <w:lang w:eastAsia="zh-CN"/>
              </w:rPr>
            </w:pP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default" w:eastAsia="宋体"/>
                <w:highlight w:val="none"/>
                <w:lang w:val="en-US" w:eastAsia="zh-CN"/>
              </w:rPr>
            </w:pPr>
            <w:r>
              <w:rPr>
                <w:rFonts w:hint="eastAsia"/>
                <w:highlight w:val="none"/>
              </w:rPr>
              <w:t>EnMS的主管部门是——</w:t>
            </w:r>
            <w:r>
              <w:rPr>
                <w:rFonts w:hint="eastAsia"/>
                <w:highlight w:val="none"/>
                <w:lang w:eastAsia="zh-CN"/>
              </w:rPr>
              <w:t>☑</w:t>
            </w:r>
            <w:r>
              <w:rPr>
                <w:rFonts w:hint="eastAsia"/>
                <w:highlight w:val="none"/>
                <w:lang w:val="en-US" w:eastAsia="zh-CN"/>
              </w:rPr>
              <w:t xml:space="preserve">能源管理团队 </w:t>
            </w:r>
            <w:r>
              <w:rPr>
                <w:rFonts w:hint="eastAsia"/>
                <w:highlight w:val="none"/>
                <w:lang w:eastAsia="zh-CN"/>
              </w:rPr>
              <w:t>☑</w:t>
            </w:r>
            <w:r>
              <w:rPr>
                <w:rFonts w:hint="eastAsia"/>
                <w:highlight w:val="none"/>
                <w:lang w:val="en-US" w:eastAsia="zh-CN"/>
              </w:rPr>
              <w:t>综合部</w:t>
            </w:r>
          </w:p>
          <w:p>
            <w:pPr>
              <w:shd w:val="clear" w:color="auto" w:fill="EBF1DE" w:themeFill="accent3" w:themeFillTint="32"/>
              <w:rPr>
                <w:rFonts w:hint="default"/>
                <w:highlight w:val="none"/>
                <w:lang w:val="en-US"/>
              </w:rPr>
            </w:pPr>
            <w:r>
              <w:rPr>
                <w:rFonts w:hint="eastAsia"/>
                <w:highlight w:val="none"/>
                <w:lang w:val="en-US" w:eastAsia="zh-CN"/>
              </w:rPr>
              <w:t>能源管理团队负责人（管理者代表）是：丁国强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认清国家形式，不做违法的事情；</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内部：客户风险、项目自身风险、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none"/>
                    </w:rPr>
                  </w:pPr>
                  <w:r>
                    <w:rPr>
                      <w:rFonts w:hint="eastAsia"/>
                      <w:highlight w:val="none"/>
                      <w:lang w:val="en-US" w:eastAsia="zh-CN"/>
                    </w:rPr>
                    <w:t>有效</w:t>
                  </w:r>
                </w:p>
              </w:tc>
            </w:tr>
          </w:tbl>
          <w:p>
            <w:pPr>
              <w:shd w:val="clear" w:color="auto" w:fill="EBF1DE" w:themeFill="accent3" w:themeFillTint="32"/>
              <w:rPr>
                <w:highlight w:val="none"/>
              </w:rPr>
            </w:pP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t xml:space="preserve">□蒸汽 □天然气 □燃料油  □燃料气 </w:t>
            </w:r>
            <w:r>
              <w:rPr>
                <w:rFonts w:hint="eastAsia"/>
                <w:highlight w:val="none"/>
                <w:lang w:eastAsia="zh-CN"/>
              </w:rPr>
              <w:t>☑</w:t>
            </w:r>
            <w:r>
              <w:rPr>
                <w:rFonts w:hint="eastAsia"/>
                <w:highlight w:val="none"/>
              </w:rPr>
              <w:t>电力  □氮气 □风  □新鲜水 □各种品质水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□单位产品蒸汽消耗  □单位产品燃料气消耗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□节能评估报告编号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none"/>
              </w:rPr>
            </w:pPr>
            <w:r>
              <w:rPr>
                <w:rFonts w:hint="eastAsia"/>
                <w:highlight w:val="none"/>
                <w:lang w:eastAsia="zh-CN"/>
              </w:rPr>
              <w:t>☑</w:t>
            </w:r>
            <w:r>
              <w:rPr>
                <w:rFonts w:hint="eastAsia"/>
                <w:highlight w:val="none"/>
              </w:rPr>
              <w:t>能源评审报告编号</w:t>
            </w:r>
            <w:r>
              <w:rPr>
                <w:rFonts w:hint="eastAsia"/>
                <w:highlight w:val="none"/>
                <w:lang w:val="en-US" w:eastAsia="zh-CN"/>
              </w:rPr>
              <w:t>/日期</w:t>
            </w:r>
            <w:r>
              <w:rPr>
                <w:rFonts w:hint="eastAsia"/>
                <w:highlight w:val="none"/>
              </w:rPr>
              <w:t>：</w:t>
            </w:r>
            <w:r>
              <w:rPr>
                <w:rFonts w:hint="eastAsia"/>
                <w:highlight w:val="none"/>
                <w:lang w:val="en-US" w:eastAsia="zh-CN"/>
              </w:rPr>
              <w:t>2022年4月</w:t>
            </w:r>
            <w:r>
              <w:rPr>
                <w:rFonts w:hint="eastAsia"/>
                <w:highlight w:val="none"/>
              </w:rPr>
              <w:t xml:space="preserve"> </w:t>
            </w:r>
          </w:p>
          <w:p>
            <w:pPr>
              <w:shd w:val="clear" w:color="auto" w:fill="EBF1DE" w:themeFill="accent3" w:themeFillTint="32"/>
              <w:rPr>
                <w:highlight w:val="none"/>
              </w:rPr>
            </w:pPr>
            <w:r>
              <w:rPr>
                <w:rFonts w:hint="eastAsia"/>
                <w:highlight w:val="none"/>
              </w:rPr>
              <w:t>□节能项目验收报告编号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t xml:space="preserve">□限额标准  </w:t>
            </w:r>
            <w:r>
              <w:rPr>
                <w:rFonts w:hint="eastAsia"/>
                <w:highlight w:val="none"/>
                <w:lang w:eastAsia="zh-CN"/>
              </w:rPr>
              <w:t>☑</w:t>
            </w:r>
            <w:r>
              <w:rPr>
                <w:rFonts w:hint="eastAsia"/>
                <w:highlight w:val="none"/>
              </w:rPr>
              <w:t xml:space="preserve">能源计量管理  □使用节能设备  □主要耗能设备识别及能效测试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hint="eastAsia"/>
                      <w:highlight w:val="none"/>
                    </w:rPr>
                  </w:pPr>
                  <w:r>
                    <w:rPr>
                      <w:rFonts w:hint="eastAsia"/>
                      <w:highlight w:val="none"/>
                    </w:rPr>
                    <w:t>节能目标</w:t>
                  </w:r>
                </w:p>
              </w:tc>
              <w:tc>
                <w:tcPr>
                  <w:tcW w:w="4420" w:type="dxa"/>
                  <w:shd w:val="clear" w:color="auto" w:fill="auto"/>
                </w:tcPr>
                <w:p>
                  <w:pPr>
                    <w:shd w:val="clear" w:color="auto" w:fill="EBF1DE" w:themeFill="accent3" w:themeFillTint="32"/>
                    <w:rPr>
                      <w:rFonts w:hint="eastAsia"/>
                      <w:highlight w:val="none"/>
                    </w:rPr>
                  </w:pPr>
                  <w:r>
                    <w:rPr>
                      <w:rFonts w:hint="eastAsia"/>
                      <w:highlight w:val="none"/>
                    </w:rPr>
                    <w:t>控制措施</w:t>
                  </w:r>
                </w:p>
              </w:tc>
              <w:tc>
                <w:tcPr>
                  <w:tcW w:w="1300" w:type="dxa"/>
                  <w:shd w:val="clear" w:color="auto" w:fill="auto"/>
                </w:tcPr>
                <w:p>
                  <w:pPr>
                    <w:shd w:val="clear" w:color="auto" w:fill="EBF1DE" w:themeFill="accent3" w:themeFillTint="32"/>
                    <w:rPr>
                      <w:rFonts w:hint="eastAsia"/>
                      <w:highlight w:val="none"/>
                    </w:rPr>
                  </w:pPr>
                  <w:r>
                    <w:rPr>
                      <w:rFonts w:hint="eastAsia"/>
                      <w:highlight w:val="none"/>
                    </w:rPr>
                    <w:t>责任部门</w:t>
                  </w:r>
                </w:p>
              </w:tc>
              <w:tc>
                <w:tcPr>
                  <w:tcW w:w="1527" w:type="dxa"/>
                  <w:shd w:val="clear" w:color="auto" w:fill="auto"/>
                </w:tcPr>
                <w:p>
                  <w:pPr>
                    <w:shd w:val="clear" w:color="auto" w:fill="EBF1DE" w:themeFill="accent3" w:themeFillTint="32"/>
                    <w:rPr>
                      <w:rFonts w:hint="eastAsia"/>
                      <w:highlight w:val="none"/>
                    </w:rPr>
                  </w:pPr>
                  <w:r>
                    <w:rPr>
                      <w:rFonts w:hint="eastAsia"/>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hint="default"/>
                      <w:highlight w:val="none"/>
                      <w:lang w:val="en-US" w:eastAsia="zh-CN"/>
                    </w:rPr>
                  </w:pPr>
                  <w:r>
                    <w:rPr>
                      <w:rFonts w:hint="eastAsia"/>
                      <w:highlight w:val="none"/>
                      <w:lang w:val="en-US" w:eastAsia="zh-CN"/>
                    </w:rPr>
                    <w:t>单位产值产值能耗为≦1.18kgce/万元</w:t>
                  </w:r>
                </w:p>
              </w:tc>
              <w:tc>
                <w:tcPr>
                  <w:tcW w:w="4420"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减少变压器容量；利用峰谷电价差、加强无功补偿；采用变频电机；</w:t>
                  </w:r>
                </w:p>
                <w:p>
                  <w:pPr>
                    <w:shd w:val="clear" w:color="auto" w:fill="EBF1DE" w:themeFill="accent3" w:themeFillTint="32"/>
                    <w:rPr>
                      <w:rFonts w:hint="eastAsia"/>
                      <w:highlight w:val="none"/>
                      <w:lang w:val="en-GB"/>
                    </w:rPr>
                  </w:pPr>
                  <w:r>
                    <w:rPr>
                      <w:rFonts w:hint="eastAsia"/>
                      <w:highlight w:val="none"/>
                      <w:lang w:val="en-US" w:eastAsia="zh-CN"/>
                    </w:rPr>
                    <w:t>办公室节电：避免长明灯、空调采用变频空调；随手关闭用电开关。</w:t>
                  </w:r>
                </w:p>
              </w:tc>
              <w:tc>
                <w:tcPr>
                  <w:tcW w:w="1300"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生产部</w:t>
                  </w:r>
                </w:p>
              </w:tc>
              <w:tc>
                <w:tcPr>
                  <w:tcW w:w="1527"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1.36kgce/万元</w:t>
                  </w:r>
                </w:p>
              </w:tc>
            </w:tr>
          </w:tbl>
          <w:p>
            <w:pPr>
              <w:shd w:val="clear" w:color="auto" w:fill="EBF1DE" w:themeFill="accent3" w:themeFillTint="32"/>
              <w:rPr>
                <w:highlight w:val="none"/>
              </w:rPr>
            </w:pPr>
            <w:r>
              <w:rPr>
                <w:rFonts w:hint="eastAsia"/>
                <w:highlight w:val="none"/>
              </w:rPr>
              <w:sym w:font="Wingdings" w:char="00A8"/>
            </w:r>
            <w:r>
              <w:rPr>
                <w:rFonts w:hint="eastAsia"/>
                <w:highlight w:val="none"/>
              </w:rPr>
              <w:t>目标已实现</w:t>
            </w:r>
          </w:p>
          <w:p>
            <w:pPr>
              <w:shd w:val="clear" w:color="auto" w:fill="EBF1DE" w:themeFill="accent3" w:themeFillTint="32"/>
              <w:rPr>
                <w:highlight w:val="none"/>
              </w:rPr>
            </w:pPr>
            <w:bookmarkStart w:id="34" w:name="_GoBack"/>
            <w:bookmarkEnd w:id="34"/>
            <w:r>
              <w:rPr>
                <w:rFonts w:hint="eastAsia"/>
                <w:highlight w:val="none"/>
              </w:rPr>
              <w:sym w:font="Wingdings" w:char="00FE"/>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 xml:space="preserve">公司建筑面积4694平方米，（租用厂房）生产车间 </w:t>
            </w:r>
            <w:r>
              <w:rPr>
                <w:rFonts w:hint="eastAsia"/>
                <w:highlight w:val="none"/>
                <w:lang w:val="en-US" w:eastAsia="zh-CN"/>
              </w:rPr>
              <w:t>2</w:t>
            </w:r>
            <w:r>
              <w:rPr>
                <w:rFonts w:hint="eastAsia"/>
                <w:highlight w:val="none"/>
              </w:rPr>
              <w:t>个，库房</w:t>
            </w:r>
            <w:r>
              <w:rPr>
                <w:rFonts w:hint="eastAsia"/>
                <w:highlight w:val="none"/>
                <w:lang w:val="en-US" w:eastAsia="zh-CN"/>
              </w:rPr>
              <w:t>1</w:t>
            </w:r>
            <w:r>
              <w:rPr>
                <w:rFonts w:hint="eastAsia"/>
                <w:highlight w:val="none"/>
              </w:rPr>
              <w:t>个，实验室1个；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普通车床、电焊机、激光切割机、数控等离子切割设备等</w:t>
            </w:r>
            <w:r>
              <w:rPr>
                <w:rFonts w:hint="eastAsia"/>
                <w:highlight w:val="none"/>
                <w:u w:val="single"/>
              </w:rPr>
              <w:t>（列举2~4种）</w:t>
            </w:r>
          </w:p>
          <w:p>
            <w:pPr>
              <w:shd w:val="clear" w:color="auto" w:fill="EBF1DE" w:themeFill="accent3" w:themeFillTint="32"/>
              <w:rPr>
                <w:highlight w:val="none"/>
                <w:u w:val="single"/>
              </w:rPr>
            </w:pPr>
            <w:r>
              <w:rPr>
                <w:rFonts w:hint="eastAsia"/>
                <w:highlight w:val="none"/>
              </w:rPr>
              <w:t>主要耗能设备有：</w:t>
            </w:r>
            <w:r>
              <w:rPr>
                <w:rFonts w:hint="eastAsia"/>
                <w:highlight w:val="none"/>
                <w:u w:val="single"/>
              </w:rPr>
              <w:t xml:space="preserve">  </w:t>
            </w:r>
            <w:r>
              <w:rPr>
                <w:rFonts w:hint="eastAsia"/>
                <w:highlight w:val="none"/>
                <w:u w:val="single"/>
                <w:lang w:val="en-US" w:eastAsia="zh-CN"/>
              </w:rPr>
              <w:t>普通车床、电焊机、激光切割机、变频双螺杆空气压缩机等</w:t>
            </w:r>
            <w:r>
              <w:rPr>
                <w:rFonts w:hint="eastAsia"/>
                <w:highlight w:val="none"/>
                <w:u w:val="single"/>
              </w:rPr>
              <w:t>（列举2~4种）</w:t>
            </w:r>
          </w:p>
          <w:p>
            <w:pPr>
              <w:shd w:val="clear" w:color="auto" w:fill="EBF1DE" w:themeFill="accent3" w:themeFillTint="32"/>
              <w:rPr>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A8"/>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A8"/>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电度表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A8"/>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lang w:eastAsia="zh-CN"/>
              </w:rPr>
              <w:t>（</w:t>
            </w:r>
            <w:r>
              <w:rPr>
                <w:rFonts w:hint="eastAsia"/>
                <w:highlight w:val="none"/>
                <w:lang w:val="en-US" w:eastAsia="zh-CN"/>
              </w:rPr>
              <w:t>备注：电表有当地电网负责管理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FE"/>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highlight w:val="none"/>
              </w:rPr>
            </w:pPr>
            <w:r>
              <w:rPr>
                <w:rFonts w:hint="eastAsia" w:ascii="Times New Roman" w:hAnsi="Times New Roman" w:cs="Times New Roman"/>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ascii="Times New Roman" w:hAnsi="Times New Roman" w:cs="Times New Roman"/>
                <w:highlight w:val="none"/>
              </w:rPr>
            </w:pPr>
            <w:r>
              <w:rPr>
                <w:rFonts w:hint="eastAsia" w:ascii="Times New Roman" w:hAnsi="Times New Roman" w:cs="Times New Roman"/>
                <w:highlight w:val="none"/>
              </w:rPr>
              <w:t xml:space="preserve"> </w:t>
            </w:r>
            <w:r>
              <w:rPr>
                <w:rFonts w:hint="eastAsia" w:ascii="Times New Roman" w:hAnsi="Times New Roman" w:cs="Times New Roman"/>
                <w:highlight w:val="none"/>
              </w:rPr>
              <w:sym w:font="Wingdings" w:char="00FE"/>
            </w:r>
            <w:r>
              <w:rPr>
                <w:rFonts w:hint="eastAsia" w:ascii="Times New Roman" w:hAnsi="Times New Roman" w:cs="Times New Roman"/>
                <w:highlight w:val="none"/>
              </w:rPr>
              <w:t xml:space="preserve">操作规程 </w:t>
            </w:r>
            <w:r>
              <w:rPr>
                <w:rFonts w:hint="eastAsia" w:ascii="Times New Roman" w:hAnsi="Times New Roman" w:cs="Times New Roman"/>
                <w:highlight w:val="none"/>
              </w:rPr>
              <w:sym w:font="Wingdings" w:char="00FE"/>
            </w:r>
            <w:r>
              <w:rPr>
                <w:rFonts w:hint="eastAsia" w:ascii="Times New Roman" w:hAnsi="Times New Roman" w:cs="Times New Roman"/>
                <w:highlight w:val="none"/>
              </w:rPr>
              <w:t xml:space="preserve">作业文件  </w:t>
            </w:r>
            <w:r>
              <w:rPr>
                <w:rFonts w:hint="eastAsia" w:ascii="Times New Roman" w:hAnsi="Times New Roman" w:cs="Times New Roman"/>
                <w:highlight w:val="none"/>
              </w:rPr>
              <w:sym w:font="Wingdings" w:char="00A8"/>
            </w:r>
            <w:r>
              <w:rPr>
                <w:rFonts w:hint="eastAsia" w:ascii="Times New Roman" w:hAnsi="Times New Roman" w:cs="Times New Roman"/>
                <w:highlight w:val="none"/>
              </w:rPr>
              <w:t xml:space="preserve">工艺卡片   </w:t>
            </w:r>
            <w:r>
              <w:rPr>
                <w:rFonts w:hint="eastAsia" w:ascii="Times New Roman" w:hAnsi="Times New Roman" w:cs="Times New Roman"/>
                <w:highlight w:val="none"/>
              </w:rPr>
              <w:sym w:font="Wingdings" w:char="00FE"/>
            </w:r>
            <w:r>
              <w:rPr>
                <w:rFonts w:hint="eastAsia" w:ascii="Times New Roman" w:hAnsi="Times New Roman" w:cs="Times New Roman"/>
                <w:highlight w:val="none"/>
              </w:rPr>
              <w:t xml:space="preserve">接收准则  </w:t>
            </w:r>
            <w:r>
              <w:rPr>
                <w:rFonts w:hint="eastAsia" w:ascii="Times New Roman" w:hAnsi="Times New Roman" w:cs="Times New Roman"/>
                <w:highlight w:val="none"/>
              </w:rPr>
              <w:sym w:font="Wingdings" w:char="00A8"/>
            </w:r>
            <w:r>
              <w:rPr>
                <w:rFonts w:hint="eastAsia" w:ascii="Times New Roman" w:hAnsi="Times New Roman" w:cs="Times New Roman"/>
                <w:highlight w:val="none"/>
              </w:rPr>
              <w:t xml:space="preserve">工艺流程图  </w:t>
            </w:r>
            <w:r>
              <w:rPr>
                <w:rFonts w:hint="eastAsia" w:ascii="Times New Roman" w:hAnsi="Times New Roman" w:cs="Times New Roman"/>
                <w:highlight w:val="none"/>
              </w:rPr>
              <w:sym w:font="Wingdings" w:char="00A8"/>
            </w:r>
            <w:r>
              <w:rPr>
                <w:rFonts w:hint="eastAsia" w:ascii="Times New Roman" w:hAnsi="Times New Roman" w:cs="Times New Roman"/>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A8"/>
            </w:r>
            <w:r>
              <w:rPr>
                <w:rFonts w:hint="eastAsia"/>
                <w:highlight w:val="none"/>
              </w:rPr>
              <w:t xml:space="preserve">能源采购 </w:t>
            </w:r>
            <w:r>
              <w:rPr>
                <w:rFonts w:hint="eastAsia"/>
                <w:highlight w:val="none"/>
              </w:rPr>
              <w:sym w:font="Wingdings" w:char="00A8"/>
            </w:r>
            <w:r>
              <w:rPr>
                <w:rFonts w:hint="eastAsia"/>
                <w:highlight w:val="none"/>
              </w:rPr>
              <w:t xml:space="preserve">主要用能设备采购  </w:t>
            </w:r>
            <w:r>
              <w:rPr>
                <w:rFonts w:hint="eastAsia"/>
                <w:highlight w:val="none"/>
              </w:rPr>
              <w:sym w:font="Wingdings" w:char="00A8"/>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A8"/>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蒸汽消耗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天然气消耗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numPr>
                      <w:ilvl w:val="0"/>
                      <w:numId w:val="2"/>
                    </w:numPr>
                    <w:shd w:val="clear" w:color="auto" w:fill="EBF1DE" w:themeFill="accent3" w:themeFillTint="32"/>
                    <w:jc w:val="left"/>
                    <w:rPr>
                      <w:rFonts w:hint="eastAsia"/>
                      <w:highlight w:val="none"/>
                      <w:lang w:val="en-US" w:eastAsia="zh-CN"/>
                    </w:rPr>
                  </w:pPr>
                  <w:r>
                    <w:rPr>
                      <w:rFonts w:hint="eastAsia"/>
                      <w:highlight w:val="none"/>
                      <w:lang w:val="en-US" w:eastAsia="zh-CN"/>
                    </w:rPr>
                    <w:t>减少变压器容量；利用峰谷电价差、加强无功补偿；采用变频电机；</w:t>
                  </w:r>
                </w:p>
                <w:p>
                  <w:pPr>
                    <w:numPr>
                      <w:ilvl w:val="0"/>
                      <w:numId w:val="2"/>
                    </w:numPr>
                    <w:shd w:val="clear" w:color="auto" w:fill="EBF1DE" w:themeFill="accent3" w:themeFillTint="32"/>
                    <w:jc w:val="left"/>
                    <w:rPr>
                      <w:rFonts w:hint="default"/>
                      <w:highlight w:val="none"/>
                      <w:lang w:val="en-US" w:eastAsia="zh-CN"/>
                    </w:rPr>
                  </w:pPr>
                  <w:r>
                    <w:rPr>
                      <w:rFonts w:hint="eastAsia"/>
                      <w:highlight w:val="none"/>
                      <w:lang w:val="en-US" w:eastAsia="zh-CN"/>
                    </w:rPr>
                    <w:t>办公室节电：避免长明灯、空调采用变频空调；随手关闭用电开关。</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燃料气</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FE"/>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10</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26</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31</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A8"/>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tbl>
      <w:tblPr>
        <w:tblStyle w:val="8"/>
        <w:tblW w:w="102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2436"/>
        <w:gridCol w:w="787"/>
        <w:gridCol w:w="788"/>
        <w:gridCol w:w="787"/>
        <w:gridCol w:w="788"/>
        <w:gridCol w:w="788"/>
        <w:gridCol w:w="787"/>
        <w:gridCol w:w="788"/>
        <w:gridCol w:w="787"/>
        <w:gridCol w:w="643"/>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643"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83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87"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87"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yellow"/>
                <w:lang w:val="en-US" w:eastAsia="zh-CN"/>
              </w:rPr>
              <w:t>1</w:t>
            </w:r>
          </w:p>
        </w:tc>
        <w:tc>
          <w:tcPr>
            <w:tcW w:w="643"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83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643" w:type="dxa"/>
            <w:shd w:val="clear" w:color="auto" w:fill="EBF1DE" w:themeFill="accent3" w:themeFillTint="32"/>
            <w:vAlign w:val="center"/>
          </w:tcPr>
          <w:p>
            <w:pPr>
              <w:shd w:val="clear" w:color="auto" w:fill="EBF1DE" w:themeFill="accent3" w:themeFillTint="32"/>
              <w:rPr>
                <w:highlight w:val="yellow"/>
                <w:lang w:eastAsia="ja-JP"/>
              </w:rPr>
            </w:pPr>
          </w:p>
        </w:tc>
        <w:tc>
          <w:tcPr>
            <w:tcW w:w="839"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8"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87"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8"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87"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643"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83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8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6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c>
          <w:tcPr>
            <w:tcW w:w="83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ja-JP" w:bidi="ar-SA"/>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87" w:type="dxa"/>
            <w:shd w:val="clear" w:color="auto" w:fill="EBF1DE" w:themeFill="accent3" w:themeFillTint="32"/>
            <w:vAlign w:val="center"/>
          </w:tcPr>
          <w:p>
            <w:pPr>
              <w:shd w:val="clear" w:color="auto" w:fill="EBF1DE" w:themeFill="accent3" w:themeFillTint="32"/>
              <w:rPr>
                <w:highlight w:val="yellow"/>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643" w:type="dxa"/>
            <w:shd w:val="clear" w:color="auto" w:fill="EBF1DE" w:themeFill="accent3" w:themeFillTint="32"/>
            <w:vAlign w:val="center"/>
          </w:tcPr>
          <w:p>
            <w:pPr>
              <w:shd w:val="clear" w:color="auto" w:fill="EBF1DE" w:themeFill="accent3" w:themeFillTint="32"/>
              <w:rPr>
                <w:highlight w:val="yellow"/>
                <w:lang w:eastAsia="ja-JP"/>
              </w:rPr>
            </w:pPr>
          </w:p>
        </w:tc>
        <w:tc>
          <w:tcPr>
            <w:tcW w:w="839"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87"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8"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643" w:type="dxa"/>
            <w:shd w:val="clear" w:color="auto" w:fill="EBF1DE" w:themeFill="accent3" w:themeFillTint="32"/>
            <w:vAlign w:val="center"/>
          </w:tcPr>
          <w:p>
            <w:pPr>
              <w:shd w:val="clear" w:color="auto" w:fill="EBF1DE" w:themeFill="accent3" w:themeFillTint="32"/>
              <w:rPr>
                <w:highlight w:val="yellow"/>
                <w:lang w:eastAsia="ja-JP"/>
              </w:rPr>
            </w:pPr>
          </w:p>
        </w:tc>
        <w:tc>
          <w:tcPr>
            <w:tcW w:w="839"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87"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643" w:type="dxa"/>
            <w:shd w:val="clear" w:color="auto" w:fill="EBF1DE" w:themeFill="accent3" w:themeFillTint="32"/>
            <w:vAlign w:val="center"/>
          </w:tcPr>
          <w:p>
            <w:pPr>
              <w:shd w:val="clear" w:color="auto" w:fill="EBF1DE" w:themeFill="accent3" w:themeFillTint="32"/>
              <w:rPr>
                <w:highlight w:val="yellow"/>
                <w:lang w:eastAsia="ja-JP"/>
              </w:rPr>
            </w:pPr>
          </w:p>
        </w:tc>
        <w:tc>
          <w:tcPr>
            <w:tcW w:w="839"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788" w:type="dxa"/>
            <w:shd w:val="clear" w:color="auto" w:fill="EBF1DE" w:themeFill="accent3" w:themeFillTint="32"/>
            <w:vAlign w:val="center"/>
          </w:tcPr>
          <w:p>
            <w:pPr>
              <w:shd w:val="clear" w:color="auto" w:fill="EBF1DE" w:themeFill="accent3" w:themeFillTint="32"/>
              <w:rPr>
                <w:highlight w:val="yellow"/>
                <w:lang w:eastAsia="ja-JP"/>
              </w:rPr>
            </w:pPr>
          </w:p>
        </w:tc>
        <w:tc>
          <w:tcPr>
            <w:tcW w:w="787" w:type="dxa"/>
            <w:shd w:val="clear" w:color="auto" w:fill="EBF1DE" w:themeFill="accent3" w:themeFillTint="32"/>
            <w:vAlign w:val="center"/>
          </w:tcPr>
          <w:p>
            <w:pPr>
              <w:shd w:val="clear" w:color="auto" w:fill="EBF1DE" w:themeFill="accent3" w:themeFillTint="32"/>
              <w:rPr>
                <w:highlight w:val="yellow"/>
                <w:lang w:eastAsia="ja-JP"/>
              </w:rPr>
            </w:pPr>
          </w:p>
        </w:tc>
        <w:tc>
          <w:tcPr>
            <w:tcW w:w="643" w:type="dxa"/>
            <w:shd w:val="clear" w:color="auto" w:fill="EBF1DE" w:themeFill="accent3" w:themeFillTint="32"/>
            <w:vAlign w:val="center"/>
          </w:tcPr>
          <w:p>
            <w:pPr>
              <w:shd w:val="clear" w:color="auto" w:fill="EBF1DE" w:themeFill="accent3" w:themeFillTint="32"/>
              <w:rPr>
                <w:highlight w:val="yellow"/>
                <w:lang w:eastAsia="ja-JP"/>
              </w:rPr>
            </w:pPr>
          </w:p>
        </w:tc>
        <w:tc>
          <w:tcPr>
            <w:tcW w:w="839" w:type="dxa"/>
            <w:shd w:val="clear" w:color="auto" w:fill="EBF1DE" w:themeFill="accent3" w:themeFillTint="32"/>
            <w:vAlign w:val="center"/>
          </w:tcPr>
          <w:p>
            <w:pPr>
              <w:shd w:val="clear" w:color="auto" w:fill="EBF1DE" w:themeFill="accent3" w:themeFillTint="32"/>
              <w:rPr>
                <w:highlight w:val="yellow"/>
                <w:lang w:eastAsia="ja-JP"/>
              </w:rPr>
            </w:pPr>
          </w:p>
        </w:tc>
      </w:tr>
    </w:tbl>
    <w:p>
      <w:pPr>
        <w:pStyle w:val="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autoSpaceDE w:val="0"/>
        <w:autoSpaceDN w:val="0"/>
        <w:adjustRightInd w:val="0"/>
        <w:snapToGrid w:val="0"/>
        <w:rPr>
          <w:rFonts w:eastAsia="微软雅黑"/>
          <w:b/>
          <w:bCs/>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04982D5"/>
    <w:multiLevelType w:val="singleLevel"/>
    <w:tmpl w:val="404982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2BA2965"/>
    <w:rsid w:val="38BF3B33"/>
    <w:rsid w:val="3A295085"/>
    <w:rsid w:val="5CDF447A"/>
    <w:rsid w:val="763A5C7A"/>
    <w:rsid w:val="7E421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12</TotalTime>
  <ScaleCrop>false</ScaleCrop>
  <LinksUpToDate>false</LinksUpToDate>
  <CharactersWithSpaces>21168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2022-05-09T05:43:29Z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