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</w:rPr>
              <w:t>开料、立铣、钻孔、喷漆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需确认的过程：喷漆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主要控制参数：尺寸、漆膜厚度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木质家具通用技术条件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GB/T3324-2017</w:t>
            </w:r>
            <w:bookmarkStart w:id="2" w:name="_GoBack"/>
            <w:bookmarkEnd w:id="2"/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金属家具通用技术条件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GB/T3325-2017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木家具质量检验及质量评定   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QB/T1951.1-2010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木材含水率测定方法  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 xml:space="preserve">GB/T 1931-2009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尺寸、形状与位置、材料要求、外观、表面处理要求、结构安全性、有害物质限量等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83185</wp:posOffset>
                  </wp:positionV>
                  <wp:extent cx="844550" cy="509270"/>
                  <wp:effectExtent l="0" t="0" r="12700" b="5080"/>
                  <wp:wrapNone/>
                  <wp:docPr id="1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123190</wp:posOffset>
                  </wp:positionV>
                  <wp:extent cx="844550" cy="509270"/>
                  <wp:effectExtent l="0" t="0" r="12700" b="5080"/>
                  <wp:wrapNone/>
                  <wp:docPr id="3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val="en-US" w:eastAsia="zh-CN"/>
              </w:rPr>
              <w:t>/爆炸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危废排放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三废排放指标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/爆炸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定期清理粉尘、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、净化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废水——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配置污水处理装置，进行污水处理；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固/危废——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一般固废集中收集外售；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148590</wp:posOffset>
                  </wp:positionV>
                  <wp:extent cx="844550" cy="509270"/>
                  <wp:effectExtent l="0" t="0" r="12700" b="5080"/>
                  <wp:wrapNone/>
                  <wp:docPr id="4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-40005</wp:posOffset>
                  </wp:positionV>
                  <wp:extent cx="844550" cy="509270"/>
                  <wp:effectExtent l="0" t="0" r="12700" b="5080"/>
                  <wp:wrapNone/>
                  <wp:docPr id="5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：触电、火灾、爆炸、职业病（粉尘、废气、噪声）、机械伤害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职业病——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选用低噪声设备，合理布局，隔声减震，使用个人防护用品；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208915</wp:posOffset>
                  </wp:positionV>
                  <wp:extent cx="844550" cy="509270"/>
                  <wp:effectExtent l="0" t="0" r="12700" b="5080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172720</wp:posOffset>
                  </wp:positionV>
                  <wp:extent cx="844550" cy="509270"/>
                  <wp:effectExtent l="0" t="0" r="12700" b="5080"/>
                  <wp:wrapNone/>
                  <wp:docPr id="7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20721283"/>
    <w:rsid w:val="3B121F79"/>
    <w:rsid w:val="4C9C3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1458</Words>
  <Characters>1651</Characters>
  <Lines>2</Lines>
  <Paragraphs>1</Paragraphs>
  <TotalTime>24</TotalTime>
  <ScaleCrop>false</ScaleCrop>
  <LinksUpToDate>false</LinksUpToDate>
  <CharactersWithSpaces>1667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2022-06-10T06:41:36Z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3373646973A244E28EDC3FF86C2677F5</vt:lpwstr>
  </property>
  <property fmtid="{D5CDD505-2E9C-101B-9397-08002B2CF9AE}" pid="3" name="KSOProductBuildVer">
    <vt:lpwstr>2052-11.1.0.11744</vt:lpwstr>
  </property>
</Properties>
</file>