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tiff" ContentType="image/tif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成都博世威科技有限公司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成都市新津县五津镇兴园8路518号2栋1层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生产地址：四川省德阳市广汉市新丰镇玉溪路三段六号；经营地址：四川省德阳市广汉市新丰镇玉溪路三段六号1栋楼2层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袁华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15308105335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1874952083@qq.com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  <w:r>
              <w:rPr>
                <w:rFonts w:hint="eastAsia"/>
                <w:sz w:val="21"/>
                <w:szCs w:val="21"/>
                <w:lang w:val="en-US" w:eastAsia="zh-CN"/>
              </w:rPr>
              <w:t>李仁勇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0223-2021-E-2022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 xml:space="preserve">□现场审核   </w:t>
            </w: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音频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智能手机  □台式电脑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油田助剂的销售所涉及场所的相关环境管理活动</w:t>
            </w:r>
            <w:bookmarkEnd w:id="21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29.11.05</w:t>
            </w:r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</w:t>
            </w:r>
            <w:r>
              <w:rPr>
                <w:rFonts w:hint="eastAsia"/>
                <w:b/>
                <w:sz w:val="20"/>
                <w:lang w:val="en-US" w:eastAsia="zh-CN"/>
              </w:rPr>
              <w:t>于</w:t>
            </w:r>
            <w:r>
              <w:rPr>
                <w:rFonts w:hint="eastAsia"/>
                <w:b/>
                <w:sz w:val="20"/>
              </w:rPr>
              <w:t>2022年04月1</w:t>
            </w:r>
            <w:r>
              <w:rPr>
                <w:rFonts w:hint="eastAsia"/>
                <w:b/>
                <w:sz w:val="20"/>
                <w:lang w:val="en-US" w:eastAsia="zh-CN"/>
              </w:rPr>
              <w:t>7</w:t>
            </w:r>
            <w:r>
              <w:rPr>
                <w:rFonts w:hint="eastAsia"/>
                <w:b/>
                <w:sz w:val="20"/>
              </w:rPr>
              <w:t>日 上午至2022年04月1</w:t>
            </w:r>
            <w:r>
              <w:rPr>
                <w:rFonts w:hint="eastAsia"/>
                <w:b/>
                <w:sz w:val="20"/>
                <w:lang w:val="en-US" w:eastAsia="zh-CN"/>
              </w:rPr>
              <w:t>7</w:t>
            </w:r>
            <w:r>
              <w:rPr>
                <w:rFonts w:hint="eastAsia"/>
                <w:b/>
                <w:sz w:val="20"/>
              </w:rPr>
              <w:t>日 下午(共1.0天)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杨珍全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2021-N1EMS-2230067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29.11.05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13883847833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ascii="方正仿宋简体" w:eastAsia="方正仿宋简体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313055</wp:posOffset>
                  </wp:positionH>
                  <wp:positionV relativeFrom="paragraph">
                    <wp:posOffset>31750</wp:posOffset>
                  </wp:positionV>
                  <wp:extent cx="812165" cy="396875"/>
                  <wp:effectExtent l="0" t="0" r="10795" b="14605"/>
                  <wp:wrapNone/>
                  <wp:docPr id="3" name="图片 3" descr="签名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签名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39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13883847833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2022年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2022年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p>
      <w:pPr>
        <w:pStyle w:val="2"/>
      </w:pPr>
    </w:p>
    <w:p>
      <w:pPr>
        <w:pStyle w:val="2"/>
      </w:pPr>
    </w:p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>远程</w:t>
      </w:r>
      <w:r>
        <w:rPr>
          <w:rFonts w:hint="eastAsia" w:ascii="宋体" w:hAnsi="宋体"/>
          <w:b/>
          <w:bCs/>
          <w:sz w:val="30"/>
          <w:szCs w:val="30"/>
        </w:rPr>
        <w:t>审核日程安排表</w:t>
      </w:r>
    </w:p>
    <w:tbl>
      <w:tblPr>
        <w:tblStyle w:val="6"/>
        <w:tblpPr w:leftFromText="180" w:rightFromText="180" w:vertAnchor="text" w:horzAnchor="page" w:tblpX="887" w:tblpY="3"/>
        <w:tblOverlap w:val="never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1547"/>
        <w:gridCol w:w="874"/>
        <w:gridCol w:w="6055"/>
        <w:gridCol w:w="10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83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4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87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605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06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833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</w:pPr>
          </w:p>
          <w:p>
            <w:pPr>
              <w:snapToGrid w:val="0"/>
              <w:spacing w:line="320" w:lineRule="exact"/>
              <w:jc w:val="center"/>
            </w:pPr>
          </w:p>
          <w:p>
            <w:pPr>
              <w:snapToGrid w:val="0"/>
              <w:spacing w:line="320" w:lineRule="exact"/>
              <w:jc w:val="center"/>
            </w:pPr>
          </w:p>
          <w:p>
            <w:pPr>
              <w:snapToGrid w:val="0"/>
              <w:spacing w:line="320" w:lineRule="exact"/>
              <w:jc w:val="center"/>
            </w:pPr>
          </w:p>
          <w:p>
            <w:pPr>
              <w:snapToGrid w:val="0"/>
              <w:spacing w:line="320" w:lineRule="exact"/>
              <w:jc w:val="center"/>
            </w:pPr>
          </w:p>
          <w:p>
            <w:pPr>
              <w:snapToGrid w:val="0"/>
              <w:spacing w:line="320" w:lineRule="exact"/>
              <w:jc w:val="center"/>
            </w:pPr>
          </w:p>
          <w:p>
            <w:pPr>
              <w:snapToGrid w:val="0"/>
              <w:spacing w:line="320" w:lineRule="exact"/>
              <w:jc w:val="center"/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4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月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17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日</w:t>
            </w:r>
          </w:p>
          <w:p>
            <w:pPr>
              <w:pStyle w:val="2"/>
              <w:rPr>
                <w:rFonts w:hint="eastAsia"/>
                <w:b/>
                <w:sz w:val="24"/>
                <w:szCs w:val="24"/>
              </w:rPr>
            </w:pPr>
          </w:p>
          <w:p>
            <w:pPr>
              <w:pStyle w:val="2"/>
              <w:rPr>
                <w:rFonts w:hint="eastAsia"/>
                <w:b/>
                <w:sz w:val="24"/>
                <w:szCs w:val="24"/>
              </w:rPr>
            </w:pPr>
          </w:p>
          <w:p>
            <w:pPr>
              <w:pStyle w:val="2"/>
              <w:rPr>
                <w:rFonts w:hint="eastAsia"/>
                <w:b/>
                <w:sz w:val="24"/>
                <w:szCs w:val="24"/>
              </w:rPr>
            </w:pPr>
          </w:p>
          <w:p>
            <w:pPr>
              <w:pStyle w:val="2"/>
              <w:rPr>
                <w:rFonts w:hint="eastAsia"/>
                <w:b/>
                <w:sz w:val="24"/>
                <w:szCs w:val="24"/>
              </w:rPr>
            </w:pPr>
          </w:p>
          <w:p>
            <w:pPr>
              <w:pStyle w:val="2"/>
              <w:rPr>
                <w:rFonts w:hint="eastAsia"/>
                <w:b/>
                <w:sz w:val="24"/>
                <w:szCs w:val="24"/>
              </w:rPr>
            </w:pPr>
          </w:p>
          <w:p>
            <w:pPr>
              <w:pStyle w:val="2"/>
              <w:rPr>
                <w:rFonts w:hint="eastAsia"/>
                <w:b/>
                <w:sz w:val="24"/>
                <w:szCs w:val="24"/>
              </w:rPr>
            </w:pPr>
          </w:p>
          <w:p>
            <w:pPr>
              <w:pStyle w:val="2"/>
              <w:rPr>
                <w:rFonts w:hint="eastAsia"/>
                <w:b/>
                <w:sz w:val="24"/>
                <w:szCs w:val="24"/>
              </w:rPr>
            </w:pPr>
          </w:p>
          <w:p>
            <w:pPr>
              <w:pStyle w:val="2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929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06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1" w:hRule="atLeast"/>
        </w:trPr>
        <w:tc>
          <w:tcPr>
            <w:tcW w:w="833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47" w:type="dxa"/>
            <w:vAlign w:val="top"/>
          </w:tcPr>
          <w:p>
            <w:pPr>
              <w:snapToGrid w:val="0"/>
              <w:spacing w:line="320" w:lineRule="exact"/>
              <w:jc w:val="both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9：00-10：30</w:t>
            </w:r>
          </w:p>
          <w:p>
            <w:pPr>
              <w:snapToGrid w:val="0"/>
              <w:spacing w:line="32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874" w:type="dxa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管理层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含管理者代表）</w:t>
            </w:r>
          </w:p>
        </w:tc>
        <w:tc>
          <w:tcPr>
            <w:tcW w:w="6055" w:type="dxa"/>
          </w:tcPr>
          <w:p>
            <w:pPr>
              <w:snapToGrid w:val="0"/>
              <w:spacing w:line="240" w:lineRule="exact"/>
              <w:rPr>
                <w:rFonts w:hint="eastAsia" w:ascii="宋体" w:hAnsi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  <w:t>E</w:t>
            </w:r>
            <w:r>
              <w:rPr>
                <w:rFonts w:hint="eastAsia" w:ascii="宋体" w:hAnsi="宋体" w:eastAsia="宋体" w:cs="新宋体"/>
                <w:sz w:val="21"/>
                <w:szCs w:val="21"/>
              </w:rPr>
              <w:t>MS</w:t>
            </w:r>
            <w: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Times New Roman"/>
                <w:sz w:val="21"/>
                <w:szCs w:val="21"/>
              </w:rPr>
              <w:t>4.1组织及其环境;4.2相关方需求与期望;4.3确定体系范围;4.4体系;5.1领导作用与承诺;5.2方针;5.3组织的角色、职责和权限；6.1</w:t>
            </w:r>
            <w:r>
              <w:rPr>
                <w:rFonts w:hint="eastAsia" w:ascii="宋体" w:hAnsi="宋体" w:cs="宋体"/>
                <w:sz w:val="21"/>
                <w:szCs w:val="21"/>
              </w:rPr>
              <w:t>应对风险和机遇的措施</w:t>
            </w:r>
            <w:r>
              <w:rPr>
                <w:rFonts w:hint="eastAsia" w:ascii="宋体" w:hAnsi="宋体" w:cs="Times New Roman"/>
                <w:sz w:val="21"/>
                <w:szCs w:val="21"/>
              </w:rPr>
              <w:t>；6.1.4措施的策划；6.2目标及其实现的策划；7.1资源；7.4沟通；9.1.1监测、分析和评估总则；9.3管理评审；10.1改进 总则；10.3持续改进</w:t>
            </w:r>
            <w:r>
              <w:rPr>
                <w:rFonts w:hint="eastAsia" w:ascii="宋体" w:hAnsi="宋体" w:cs="Times New Roman"/>
                <w:sz w:val="21"/>
                <w:szCs w:val="21"/>
                <w:lang w:eastAsia="zh-CN"/>
              </w:rPr>
              <w:t>；</w:t>
            </w: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范围的确认、资质的确认、法律法规执行情况、环保抽查及相关投诉情况、</w:t>
            </w:r>
            <w: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  <w:t>证书使用情况、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上次不符合验证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068" w:type="dxa"/>
            <w:tcBorders>
              <w:right w:val="single" w:color="auto" w:sz="8" w:space="0"/>
            </w:tcBorders>
          </w:tcPr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pacing w:val="0"/>
                <w:kern w:val="2"/>
                <w:sz w:val="21"/>
                <w:szCs w:val="21"/>
                <w:lang w:val="en-US" w:eastAsia="zh-CN" w:bidi="ar-SA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7" w:hRule="atLeast"/>
        </w:trPr>
        <w:tc>
          <w:tcPr>
            <w:tcW w:w="833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47" w:type="dxa"/>
          </w:tcPr>
          <w:p>
            <w:pPr>
              <w:snapToGrid w:val="0"/>
              <w:spacing w:line="320" w:lineRule="exact"/>
              <w:jc w:val="both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10：30-14：00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（午休：12：00-13：00）</w:t>
            </w:r>
          </w:p>
        </w:tc>
        <w:tc>
          <w:tcPr>
            <w:tcW w:w="874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综合部</w:t>
            </w:r>
          </w:p>
        </w:tc>
        <w:tc>
          <w:tcPr>
            <w:tcW w:w="6055" w:type="dxa"/>
          </w:tcPr>
          <w:p>
            <w:pPr>
              <w:spacing w:line="300" w:lineRule="exact"/>
              <w:rPr>
                <w:rFonts w:hint="eastAsia" w:ascii="宋体" w:hAnsi="宋体" w:eastAsia="宋体" w:cs="新宋体"/>
                <w:color w:val="000000" w:themeColor="text1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  <w:t>E</w:t>
            </w:r>
            <w:r>
              <w:rPr>
                <w:rFonts w:hint="eastAsia" w:ascii="宋体" w:hAnsi="宋体" w:eastAsia="宋体" w:cs="新宋体"/>
                <w:sz w:val="21"/>
                <w:szCs w:val="21"/>
              </w:rPr>
              <w:t>MS</w:t>
            </w:r>
            <w: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Times New Roman"/>
                <w:sz w:val="21"/>
                <w:szCs w:val="21"/>
              </w:rPr>
              <w:t>5.3组织的角色、职责和权限；6.1.2环境因素；6.1.3合规义务；6.2目标及其达成的策划；</w:t>
            </w:r>
            <w:r>
              <w:rPr>
                <w:rFonts w:hint="eastAsia" w:ascii="宋体" w:hAnsi="宋体" w:cs="Times New Roman"/>
                <w:sz w:val="21"/>
                <w:szCs w:val="21"/>
                <w:highlight w:val="none"/>
              </w:rPr>
              <w:t>7.4沟通</w:t>
            </w:r>
            <w:r>
              <w:rPr>
                <w:rFonts w:hint="eastAsia" w:ascii="宋体" w:hAnsi="宋体" w:cs="Times New Roman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Times New Roman"/>
                <w:sz w:val="21"/>
                <w:szCs w:val="21"/>
                <w:highlight w:val="none"/>
                <w:lang w:val="en-US" w:eastAsia="zh-CN"/>
              </w:rPr>
              <w:t>上次不符合项验证）</w:t>
            </w:r>
            <w:r>
              <w:rPr>
                <w:rFonts w:hint="eastAsia" w:ascii="宋体" w:hAnsi="宋体" w:cs="Times New Roman"/>
                <w:sz w:val="21"/>
                <w:szCs w:val="21"/>
                <w:highlight w:val="none"/>
              </w:rPr>
              <w:t>；</w:t>
            </w:r>
            <w:r>
              <w:rPr>
                <w:rFonts w:hint="eastAsia" w:ascii="宋体" w:hAnsi="宋体" w:cs="Times New Roman"/>
                <w:sz w:val="21"/>
                <w:szCs w:val="21"/>
              </w:rPr>
              <w:t>8.1运行策划和控制；8.2应急准备和响应；9.1</w:t>
            </w:r>
            <w:r>
              <w:rPr>
                <w:rFonts w:hint="eastAsia" w:ascii="宋体" w:hAnsi="宋体" w:cs="Times New Roman"/>
                <w:sz w:val="21"/>
                <w:szCs w:val="21"/>
                <w:highlight w:val="none"/>
              </w:rPr>
              <w:t>监视、测量、分析与评估；9.1.2符合性评估；9.2内部审核；10.2不符合和纠正措施；10.3持续改进/EMS运行控制相关财务支出证据</w:t>
            </w:r>
            <w:r>
              <w:rPr>
                <w:rFonts w:hint="eastAsia" w:ascii="宋体" w:hAnsi="宋体" w:cs="Times New Roman"/>
                <w:sz w:val="21"/>
                <w:szCs w:val="21"/>
                <w:highlight w:val="none"/>
                <w:lang w:val="en-US" w:eastAsia="zh-CN"/>
              </w:rPr>
              <w:t>；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  <w:bookmarkStart w:id="30" w:name="_GoBack"/>
            <w:bookmarkEnd w:id="30"/>
          </w:p>
        </w:tc>
        <w:tc>
          <w:tcPr>
            <w:tcW w:w="106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pacing w:val="0"/>
                <w:kern w:val="2"/>
                <w:sz w:val="21"/>
                <w:szCs w:val="21"/>
                <w:lang w:val="en-US" w:eastAsia="zh-CN" w:bidi="ar-SA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1" w:hRule="atLeast"/>
        </w:trPr>
        <w:tc>
          <w:tcPr>
            <w:tcW w:w="833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47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14：00-17：00（午休：12：00-13：00）</w:t>
            </w:r>
          </w:p>
        </w:tc>
        <w:tc>
          <w:tcPr>
            <w:tcW w:w="874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业务部</w:t>
            </w:r>
          </w:p>
        </w:tc>
        <w:tc>
          <w:tcPr>
            <w:tcW w:w="6055" w:type="dxa"/>
          </w:tcPr>
          <w:p>
            <w:pPr>
              <w:spacing w:line="300" w:lineRule="exact"/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  <w:t>E</w:t>
            </w:r>
            <w:r>
              <w:rPr>
                <w:rFonts w:hint="eastAsia" w:ascii="宋体" w:hAnsi="宋体" w:eastAsia="宋体" w:cs="新宋体"/>
                <w:sz w:val="21"/>
                <w:szCs w:val="21"/>
              </w:rPr>
              <w:t>MS</w:t>
            </w:r>
            <w: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Times New Roman"/>
                <w:sz w:val="21"/>
                <w:szCs w:val="21"/>
                <w:highlight w:val="none"/>
              </w:rPr>
              <w:t>5.3组织的角色、职责和权限；6.1.2环境因素；6.2目标及其达成的策划；7.4沟通；8.1运行策划和控制；8.2应急准备和响应</w:t>
            </w:r>
            <w:r>
              <w:rPr>
                <w:rFonts w:hint="eastAsia" w:ascii="宋体" w:hAnsi="宋体" w:cs="Times New Roman"/>
                <w:sz w:val="21"/>
                <w:szCs w:val="21"/>
                <w:highlight w:val="none"/>
                <w:lang w:val="en-US" w:eastAsia="zh-CN"/>
              </w:rPr>
              <w:t>；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</w:tc>
        <w:tc>
          <w:tcPr>
            <w:tcW w:w="106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pacing w:val="0"/>
                <w:kern w:val="2"/>
                <w:sz w:val="21"/>
                <w:szCs w:val="21"/>
                <w:lang w:val="en-US" w:eastAsia="zh-CN" w:bidi="ar-SA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</w:trPr>
        <w:tc>
          <w:tcPr>
            <w:tcW w:w="833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47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0-17: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929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与受审核方沟通、末次会议</w:t>
            </w:r>
          </w:p>
        </w:tc>
        <w:tc>
          <w:tcPr>
            <w:tcW w:w="106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pacing w:val="0"/>
                <w:kern w:val="2"/>
                <w:sz w:val="21"/>
                <w:szCs w:val="21"/>
                <w:lang w:val="en-US" w:eastAsia="zh-CN" w:bidi="ar-SA"/>
              </w:rPr>
              <w:t>杨珍全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DEB5944"/>
    <w:rsid w:val="1ED62A6D"/>
    <w:rsid w:val="3CCC79E3"/>
    <w:rsid w:val="43010914"/>
    <w:rsid w:val="77BF1EA9"/>
    <w:rsid w:val="7BBA1AA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tiff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3</TotalTime>
  <ScaleCrop>false</ScaleCrop>
  <LinksUpToDate>false</LinksUpToDate>
  <CharactersWithSpaces>5336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2022-04-13T08:43:25Z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2052-11.1.0.11636</vt:lpwstr>
  </property>
</Properties>
</file>