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重庆思恩科信息技术有限公司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从业</w:t>
            </w:r>
            <w:r>
              <w:rPr>
                <w:rFonts w:hint="eastAsia" w:ascii="方正仿宋简体" w:eastAsia="方正仿宋简体"/>
                <w:b/>
              </w:rPr>
              <w:t>人员的健康体检记录。不符合ISO45001：2018标准9.1.1条款：“为了实现职业健康安全管理体系的预期结果，过程宜予以监视、测量和分析：a)监视和测量内容的示例可包括（但不限于）：1)职业健康抱怨、工作人员的健康（通过监护）和工作环境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bookmarkStart w:id="14" w:name="_GoBack"/>
      <w:bookmarkEnd w:id="14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8B7174"/>
    <w:rsid w:val="59137D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2022-04-15T05:43:06Z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