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0316-2022-Q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成都声立德克技术有限公司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rPr>
          <w:rFonts w:hint="eastAsia"/>
        </w:rPr>
      </w:pPr>
    </w:p>
    <w:p>
      <w:pPr>
        <w:pStyle w:val="14"/>
        <w:rPr>
          <w:rFonts w:hint="eastAsia"/>
        </w:rPr>
      </w:pPr>
    </w:p>
    <w:p>
      <w:pPr>
        <w:pStyle w:val="14"/>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成都声立德克技术有限公司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四川省成都高新区高朋东路8号</w:t>
            </w:r>
            <w:bookmarkEnd w:id="6"/>
          </w:p>
        </w:tc>
        <w:tc>
          <w:tcPr>
            <w:tcW w:w="1242" w:type="dxa"/>
            <w:vMerge w:val="restart"/>
            <w:vAlign w:val="center"/>
          </w:tcPr>
          <w:p>
            <w:r>
              <w:rPr>
                <w:rFonts w:hint="eastAsia"/>
              </w:rPr>
              <w:t>邮编</w:t>
            </w:r>
          </w:p>
        </w:tc>
        <w:tc>
          <w:tcPr>
            <w:tcW w:w="1771" w:type="dxa"/>
          </w:tcPr>
          <w:p>
            <w:bookmarkStart w:id="7" w:name="注册邮编"/>
            <w:r>
              <w:t>610200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成都浩朗科技园2区第301,501号</w:t>
            </w:r>
            <w:bookmarkEnd w:id="8"/>
          </w:p>
        </w:tc>
        <w:tc>
          <w:tcPr>
            <w:tcW w:w="1242" w:type="dxa"/>
            <w:vMerge w:val="continue"/>
            <w:vAlign w:val="center"/>
          </w:tcPr>
          <w:p/>
        </w:tc>
        <w:tc>
          <w:tcPr>
            <w:tcW w:w="1771" w:type="dxa"/>
          </w:tcPr>
          <w:p>
            <w:bookmarkStart w:id="9" w:name="办公邮编"/>
            <w:r>
              <w:t>610200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陈明</w:t>
            </w:r>
            <w:bookmarkEnd w:id="10"/>
          </w:p>
        </w:tc>
        <w:tc>
          <w:tcPr>
            <w:tcW w:w="1313" w:type="dxa"/>
            <w:vAlign w:val="center"/>
          </w:tcPr>
          <w:p>
            <w:r>
              <w:rPr>
                <w:rFonts w:hint="eastAsia"/>
              </w:rPr>
              <w:t>电话.</w:t>
            </w:r>
          </w:p>
        </w:tc>
        <w:tc>
          <w:tcPr>
            <w:tcW w:w="2180" w:type="dxa"/>
            <w:vAlign w:val="center"/>
          </w:tcPr>
          <w:p>
            <w:bookmarkStart w:id="11" w:name="联系人电话"/>
            <w:r>
              <w:t>028-85121265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SHEN CHANG</w:t>
            </w:r>
            <w:bookmarkEnd w:id="13"/>
          </w:p>
        </w:tc>
        <w:tc>
          <w:tcPr>
            <w:tcW w:w="1313" w:type="dxa"/>
            <w:vAlign w:val="center"/>
          </w:tcPr>
          <w:p>
            <w:r>
              <w:rPr>
                <w:rFonts w:hint="eastAsia"/>
              </w:rPr>
              <w:t>管理者代表</w:t>
            </w:r>
          </w:p>
        </w:tc>
        <w:tc>
          <w:tcPr>
            <w:tcW w:w="2180" w:type="dxa"/>
          </w:tcPr>
          <w:p>
            <w:bookmarkStart w:id="14" w:name="管理者代表"/>
            <w:r>
              <w:t>赵洪富</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tc>
        <w:tc>
          <w:tcPr>
            <w:tcW w:w="8058" w:type="dxa"/>
            <w:gridSpan w:val="5"/>
            <w:shd w:val="clear" w:color="auto" w:fill="auto"/>
          </w:tcPr>
          <w:p>
            <w:pPr>
              <w:snapToGrid w:val="0"/>
              <w:spacing w:line="280" w:lineRule="exact"/>
              <w:jc w:val="left"/>
              <w:rPr>
                <w:rFonts w:hint="eastAsia" w:cs="Times New Roman" w:asciiTheme="minorEastAsia" w:hAnsiTheme="minorEastAsia" w:eastAsiaTheme="minorEastAsia"/>
                <w:bCs/>
                <w:iCs/>
                <w:szCs w:val="22"/>
              </w:rPr>
            </w:pPr>
            <w:r>
              <w:rPr>
                <w:rFonts w:hint="eastAsia" w:cs="Times New Roman" w:asciiTheme="minorEastAsia" w:hAnsiTheme="minorEastAsia" w:eastAsiaTheme="minorEastAsia"/>
                <w:bCs/>
                <w:iCs/>
                <w:szCs w:val="22"/>
              </w:rPr>
              <w:t>超声波水表、超声波热能表流程：部件采购——组装——调试——检验——包装——入库。</w:t>
            </w:r>
          </w:p>
          <w:p>
            <w:pPr>
              <w:snapToGrid w:val="0"/>
              <w:spacing w:line="280" w:lineRule="exact"/>
              <w:jc w:val="left"/>
            </w:pPr>
            <w:r>
              <w:rPr>
                <w:rFonts w:hint="eastAsia" w:cs="Times New Roman" w:asciiTheme="minorEastAsia" w:hAnsiTheme="minorEastAsia" w:eastAsiaTheme="minorEastAsia"/>
                <w:bCs/>
                <w:iCs/>
                <w:szCs w:val="22"/>
              </w:rPr>
              <w:t>计算机信息系统集成流程：签订合同——拟定方案——安装、调试——验收——交付</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2022年04月14日 下午至2022年04月16日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超声波水表、超声波热能表的组装；计算机信息系统集成</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19.05.01;33.02.02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asciiTheme="minorEastAsia" w:hAnsiTheme="minorEastAsia" w:eastAsiaTheme="minorEastAsia"/>
                <w:sz w:val="20"/>
              </w:rPr>
              <w:t>四川省成都高新区高朋东路8号</w:t>
            </w:r>
          </w:p>
        </w:tc>
        <w:tc>
          <w:tcPr>
            <w:tcW w:w="2267" w:type="dxa"/>
          </w:tcPr>
          <w:p>
            <w:pPr>
              <w:rPr>
                <w:lang w:val="de-DE" w:eastAsia="ja-JP"/>
              </w:rPr>
            </w:pPr>
            <w:r>
              <w:rPr>
                <w:rFonts w:asciiTheme="minorEastAsia" w:hAnsiTheme="minorEastAsia" w:eastAsiaTheme="minorEastAsia"/>
                <w:sz w:val="20"/>
              </w:rPr>
              <w:t>成都浩朗科技园2区第301,501号</w:t>
            </w:r>
          </w:p>
        </w:tc>
        <w:tc>
          <w:tcPr>
            <w:tcW w:w="571" w:type="dxa"/>
            <w:vAlign w:val="center"/>
          </w:tcPr>
          <w:p>
            <w:pPr>
              <w:rPr>
                <w:rFonts w:hint="default" w:eastAsia="宋体"/>
                <w:lang w:val="en-US" w:eastAsia="zh-CN"/>
              </w:rPr>
            </w:pPr>
            <w:r>
              <w:rPr>
                <w:rFonts w:hint="eastAsia"/>
                <w:lang w:val="en-US" w:eastAsia="zh-CN"/>
              </w:rPr>
              <w:t>37</w:t>
            </w:r>
          </w:p>
        </w:tc>
        <w:tc>
          <w:tcPr>
            <w:tcW w:w="2803" w:type="dxa"/>
            <w:vAlign w:val="center"/>
          </w:tcPr>
          <w:p>
            <w:pPr>
              <w:rPr>
                <w:lang w:eastAsia="ja-JP"/>
              </w:rPr>
            </w:pPr>
            <w:r>
              <w:rPr>
                <w:sz w:val="20"/>
              </w:rPr>
              <w:t>超声波水表、超声波热能表的组装；计算机信息系统集成</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宋明珠</w:t>
            </w:r>
          </w:p>
        </w:tc>
        <w:tc>
          <w:tcPr>
            <w:tcW w:w="1089" w:type="dxa"/>
            <w:vAlign w:val="center"/>
          </w:tcPr>
          <w:p>
            <w:r>
              <w:t>组长</w:t>
            </w:r>
          </w:p>
        </w:tc>
        <w:tc>
          <w:tcPr>
            <w:tcW w:w="711" w:type="dxa"/>
            <w:vAlign w:val="center"/>
          </w:tcPr>
          <w:p>
            <w:r>
              <w:t>男</w:t>
            </w:r>
          </w:p>
        </w:tc>
        <w:tc>
          <w:tcPr>
            <w:tcW w:w="3870" w:type="dxa"/>
            <w:vAlign w:val="center"/>
          </w:tcPr>
          <w:p>
            <w:r>
              <w:t>2020-N1QMS-1247783</w:t>
            </w:r>
          </w:p>
        </w:tc>
        <w:tc>
          <w:tcPr>
            <w:tcW w:w="2179" w:type="dxa"/>
            <w:vAlign w:val="center"/>
          </w:tcPr>
          <w:p>
            <w:r>
              <w:t>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帅婷婷</w:t>
            </w:r>
          </w:p>
        </w:tc>
        <w:tc>
          <w:tcPr>
            <w:tcW w:w="1089" w:type="dxa"/>
            <w:vAlign w:val="center"/>
          </w:tcPr>
          <w:p>
            <w:r>
              <w:t>组员</w:t>
            </w:r>
          </w:p>
        </w:tc>
        <w:tc>
          <w:tcPr>
            <w:tcW w:w="711" w:type="dxa"/>
            <w:vAlign w:val="center"/>
          </w:tcPr>
          <w:p>
            <w:r>
              <w:t>女</w:t>
            </w:r>
          </w:p>
        </w:tc>
        <w:tc>
          <w:tcPr>
            <w:tcW w:w="3870" w:type="dxa"/>
            <w:vAlign w:val="center"/>
          </w:tcPr>
          <w:p>
            <w:r>
              <w:t>ISC-JSZJ-522</w:t>
            </w:r>
          </w:p>
          <w:p>
            <w:r>
              <w:t>迈拓仪表股份有限公司</w:t>
            </w:r>
          </w:p>
        </w:tc>
        <w:tc>
          <w:tcPr>
            <w:tcW w:w="2179" w:type="dxa"/>
            <w:vAlign w:val="center"/>
          </w:tcPr>
          <w:p>
            <w:r>
              <w:t>19.05.01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jc w:val="cente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jc w:val="center"/>
            </w:pPr>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0" w:hRule="exact"/>
          <w:jc w:val="center"/>
        </w:trPr>
        <w:tc>
          <w:tcPr>
            <w:tcW w:w="1842" w:type="dxa"/>
          </w:tcPr>
          <w:p>
            <w:r>
              <w:rPr>
                <w:rFonts w:hint="eastAsia"/>
              </w:rPr>
              <w:t>审核组长签字</w:t>
            </w:r>
          </w:p>
        </w:tc>
        <w:tc>
          <w:tcPr>
            <w:tcW w:w="2764" w:type="dxa"/>
            <w:tcMar>
              <w:left w:w="113" w:type="dxa"/>
            </w:tcMar>
          </w:tcPr>
          <w:p>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142240</wp:posOffset>
                  </wp:positionH>
                  <wp:positionV relativeFrom="paragraph">
                    <wp:posOffset>97155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2022.4.16</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文化□知识□绩效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w:t>
            </w:r>
            <w:r>
              <w:rPr>
                <w:rFonts w:hint="eastAsia"/>
                <w:lang w:eastAsia="zh-CN"/>
              </w:rPr>
              <w:t>■</w:t>
            </w:r>
            <w:r>
              <w:rPr>
                <w:rFonts w:hint="eastAsia"/>
              </w:rPr>
              <w:t>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建立机制□法规宣传</w:t>
            </w:r>
            <w:r>
              <w:rPr>
                <w:rFonts w:hint="eastAsia"/>
                <w:lang w:eastAsia="zh-CN"/>
              </w:rPr>
              <w:t>■</w:t>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ind w:left="559" w:leftChars="266"/>
              <w:rPr>
                <w:rFonts w:hint="eastAsia" w:eastAsia="宋体"/>
                <w:u w:val="single"/>
                <w:lang w:eastAsia="zh-CN"/>
              </w:rPr>
            </w:pPr>
            <w:r>
              <w:rPr>
                <w:rFonts w:hint="eastAsia"/>
              </w:rPr>
              <w:t>最高管理者制定了文件化的管理体系方针</w:t>
            </w:r>
            <w:r>
              <w:rPr>
                <w:rFonts w:hint="eastAsia" w:ascii="Times New Roman" w:hAnsi="Times New Roman" w:eastAsia="宋体" w:cs="Times New Roman"/>
              </w:rPr>
              <w:t>：</w:t>
            </w:r>
            <w:r>
              <w:rPr>
                <w:rFonts w:hint="eastAsia" w:ascii="Times New Roman" w:hAnsi="Times New Roman" w:eastAsia="宋体" w:cs="Times New Roman"/>
                <w:u w:val="single"/>
                <w:lang w:eastAsia="zh-CN"/>
              </w:rPr>
              <w:t>“质量第一、降本增效、精益求精”。</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生产部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组织建立了与方针一致的文件化的管理目标。为实现总质量目标而建立的各层级质量目标具体</w:t>
            </w:r>
            <w:r>
              <w:rPr>
                <w:rFonts w:hint="eastAsia"/>
                <w:highlight w:val="none"/>
              </w:rPr>
              <w:t>、有针对性、可测量并且可实现。</w:t>
            </w:r>
          </w:p>
          <w:p>
            <w:pPr>
              <w:shd w:val="clear" w:color="auto" w:fill="C7DAF1" w:themeFill="text2" w:themeFillTint="32"/>
              <w:rPr>
                <w:highlight w:val="none"/>
              </w:rPr>
            </w:pPr>
            <w:r>
              <w:rPr>
                <w:rFonts w:hint="eastAsia"/>
                <w:highlight w:val="none"/>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质量目标</w:t>
                  </w:r>
                </w:p>
              </w:tc>
              <w:tc>
                <w:tcPr>
                  <w:tcW w:w="3136"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计算方法</w:t>
                  </w:r>
                </w:p>
              </w:tc>
              <w:tc>
                <w:tcPr>
                  <w:tcW w:w="1350"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责任部门</w:t>
                  </w:r>
                </w:p>
              </w:tc>
              <w:tc>
                <w:tcPr>
                  <w:tcW w:w="1774"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rPr>
                  </w:pPr>
                  <w:r>
                    <w:rPr>
                      <w:rFonts w:hint="eastAsia" w:ascii="宋体" w:hAnsi="宋体"/>
                      <w:sz w:val="21"/>
                      <w:szCs w:val="21"/>
                    </w:rPr>
                    <w:t>顾客满意</w:t>
                  </w:r>
                  <w:r>
                    <w:rPr>
                      <w:rFonts w:hint="eastAsia" w:ascii="宋体" w:hAnsi="宋体"/>
                      <w:sz w:val="21"/>
                      <w:szCs w:val="21"/>
                      <w:lang w:eastAsia="zh-CN"/>
                    </w:rPr>
                    <w:t>度</w:t>
                  </w:r>
                  <w:r>
                    <w:rPr>
                      <w:rFonts w:hint="eastAsia" w:ascii="宋体" w:hAnsi="宋体"/>
                      <w:sz w:val="21"/>
                      <w:szCs w:val="21"/>
                      <w:lang w:val="en-US" w:eastAsia="zh-CN"/>
                    </w:rPr>
                    <w:t>90分</w:t>
                  </w:r>
                  <w:r>
                    <w:rPr>
                      <w:rFonts w:hint="eastAsia" w:ascii="宋体" w:hAnsi="宋体"/>
                      <w:sz w:val="21"/>
                      <w:szCs w:val="21"/>
                    </w:rPr>
                    <w:t>以上</w:t>
                  </w:r>
                </w:p>
              </w:tc>
              <w:tc>
                <w:tcPr>
                  <w:tcW w:w="3136" w:type="dxa"/>
                  <w:shd w:val="clear" w:color="auto" w:fill="auto"/>
                  <w:vAlign w:val="top"/>
                </w:tcPr>
                <w:p>
                  <w:pPr>
                    <w:widowControl/>
                    <w:spacing w:before="40"/>
                    <w:jc w:val="left"/>
                    <w:rPr>
                      <w:rFonts w:hint="default" w:ascii="Times New Roman" w:hAnsi="Times New Roman" w:eastAsia="宋体" w:cs="Times New Roman"/>
                      <w:lang w:val="en-US" w:eastAsia="zh-CN"/>
                    </w:rPr>
                  </w:pPr>
                  <w:r>
                    <w:rPr>
                      <w:rFonts w:ascii="Arial" w:hAnsi="宋体" w:cs="Arial"/>
                      <w:szCs w:val="21"/>
                      <w:highlight w:val="none"/>
                    </w:rPr>
                    <w:t>（得分</w:t>
                  </w:r>
                  <w:r>
                    <w:rPr>
                      <w:rFonts w:ascii="Arial" w:hAnsi="Arial" w:cs="Arial"/>
                      <w:szCs w:val="21"/>
                      <w:highlight w:val="none"/>
                    </w:rPr>
                    <w:t>×</w:t>
                  </w:r>
                  <w:r>
                    <w:rPr>
                      <w:rFonts w:ascii="Arial" w:hAnsi="宋体" w:cs="Arial"/>
                      <w:szCs w:val="21"/>
                      <w:highlight w:val="none"/>
                    </w:rPr>
                    <w:t>质量加权</w:t>
                  </w:r>
                  <w:r>
                    <w:rPr>
                      <w:rFonts w:ascii="Arial" w:hAnsi="Arial" w:cs="Arial"/>
                      <w:szCs w:val="21"/>
                      <w:highlight w:val="none"/>
                    </w:rPr>
                    <w:t>+</w:t>
                  </w:r>
                  <w:r>
                    <w:rPr>
                      <w:rFonts w:ascii="Arial" w:hAnsi="宋体" w:cs="Arial"/>
                      <w:szCs w:val="21"/>
                      <w:highlight w:val="none"/>
                    </w:rPr>
                    <w:t>得分</w:t>
                  </w:r>
                  <w:r>
                    <w:rPr>
                      <w:rFonts w:ascii="Arial" w:hAnsi="Arial" w:cs="Arial"/>
                      <w:szCs w:val="21"/>
                      <w:highlight w:val="none"/>
                    </w:rPr>
                    <w:t>×</w:t>
                  </w:r>
                  <w:r>
                    <w:rPr>
                      <w:rFonts w:ascii="Arial" w:hAnsi="宋体" w:cs="Arial"/>
                      <w:szCs w:val="21"/>
                      <w:highlight w:val="none"/>
                    </w:rPr>
                    <w:t>价格加权</w:t>
                  </w:r>
                  <w:r>
                    <w:rPr>
                      <w:rFonts w:ascii="Arial" w:hAnsi="Arial" w:cs="Arial"/>
                      <w:szCs w:val="21"/>
                      <w:highlight w:val="none"/>
                    </w:rPr>
                    <w:t>+</w:t>
                  </w:r>
                  <w:r>
                    <w:rPr>
                      <w:rFonts w:ascii="Arial" w:hAnsi="宋体" w:cs="Arial"/>
                      <w:szCs w:val="21"/>
                      <w:highlight w:val="none"/>
                    </w:rPr>
                    <w:t>得分</w:t>
                  </w:r>
                  <w:r>
                    <w:rPr>
                      <w:rFonts w:ascii="Arial" w:hAnsi="Arial" w:cs="Arial"/>
                      <w:szCs w:val="21"/>
                      <w:highlight w:val="none"/>
                    </w:rPr>
                    <w:t>×</w:t>
                  </w:r>
                  <w:r>
                    <w:rPr>
                      <w:rFonts w:ascii="Arial" w:hAnsi="宋体" w:cs="Arial"/>
                      <w:szCs w:val="21"/>
                      <w:highlight w:val="none"/>
                    </w:rPr>
                    <w:t>交付加权</w:t>
                  </w:r>
                  <w:r>
                    <w:rPr>
                      <w:rFonts w:ascii="Arial" w:hAnsi="Arial" w:cs="Arial"/>
                      <w:szCs w:val="21"/>
                      <w:highlight w:val="none"/>
                    </w:rPr>
                    <w:t>+</w:t>
                  </w:r>
                  <w:r>
                    <w:rPr>
                      <w:rFonts w:ascii="Arial" w:hAnsi="宋体" w:cs="Arial"/>
                      <w:szCs w:val="21"/>
                      <w:highlight w:val="none"/>
                    </w:rPr>
                    <w:t>得分</w:t>
                  </w:r>
                  <w:r>
                    <w:rPr>
                      <w:rFonts w:ascii="Arial" w:hAnsi="Arial" w:cs="Arial"/>
                      <w:szCs w:val="21"/>
                      <w:highlight w:val="none"/>
                    </w:rPr>
                    <w:t>×</w:t>
                  </w:r>
                  <w:r>
                    <w:rPr>
                      <w:rFonts w:ascii="Arial" w:hAnsi="宋体" w:cs="Arial"/>
                      <w:szCs w:val="21"/>
                      <w:highlight w:val="none"/>
                    </w:rPr>
                    <w:t>服务加权）</w:t>
                  </w:r>
                  <w:r>
                    <w:rPr>
                      <w:rFonts w:ascii="Arial" w:hAnsi="Arial" w:cs="Arial"/>
                      <w:szCs w:val="21"/>
                      <w:highlight w:val="none"/>
                    </w:rPr>
                    <w:t>/</w:t>
                  </w:r>
                  <w:r>
                    <w:rPr>
                      <w:rFonts w:ascii="Arial" w:hAnsi="宋体" w:cs="Arial"/>
                      <w:szCs w:val="21"/>
                      <w:highlight w:val="none"/>
                    </w:rPr>
                    <w:t>加权总数</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lang w:val="en-GB" w:eastAsia="zh-CN"/>
                    </w:rPr>
                  </w:pPr>
                  <w:r>
                    <w:rPr>
                      <w:rFonts w:hint="eastAsia" w:cs="Times New Roman"/>
                      <w:lang w:val="en-US" w:eastAsia="zh-CN"/>
                    </w:rPr>
                    <w:t>营销部</w:t>
                  </w:r>
                </w:p>
              </w:tc>
              <w:tc>
                <w:tcPr>
                  <w:tcW w:w="1774" w:type="dxa"/>
                  <w:shd w:val="clear" w:color="auto" w:fill="auto"/>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rPr>
                    <w:t>100</w:t>
                  </w:r>
                  <w:r>
                    <w:rPr>
                      <w:rFonts w:hint="eastAsia" w:cs="Times New Roman"/>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rPr>
                  </w:pPr>
                  <w:r>
                    <w:rPr>
                      <w:rFonts w:hint="eastAsia" w:ascii="宋体" w:hAnsi="宋体"/>
                      <w:sz w:val="21"/>
                      <w:szCs w:val="21"/>
                      <w:lang w:eastAsia="zh-CN"/>
                    </w:rPr>
                    <w:t>客户反馈处理率100%</w:t>
                  </w:r>
                </w:p>
              </w:tc>
              <w:tc>
                <w:tcPr>
                  <w:tcW w:w="3136" w:type="dxa"/>
                  <w:shd w:val="clear" w:color="auto" w:fill="auto"/>
                  <w:vAlign w:val="top"/>
                </w:tcPr>
                <w:p>
                  <w:pPr>
                    <w:rPr>
                      <w:rFonts w:hint="default" w:ascii="Times New Roman" w:hAnsi="Times New Roman" w:eastAsia="宋体" w:cs="Times New Roman"/>
                      <w:lang w:val="en-US"/>
                    </w:rPr>
                  </w:pPr>
                  <w:r>
                    <w:rPr>
                      <w:rFonts w:ascii="Arial" w:hAnsi="宋体" w:cs="Arial"/>
                      <w:szCs w:val="21"/>
                    </w:rPr>
                    <w:t>客户反馈问题处理次数</w:t>
                  </w:r>
                  <w:r>
                    <w:rPr>
                      <w:rFonts w:ascii="Arial" w:hAnsi="Arial" w:cs="Arial"/>
                      <w:szCs w:val="21"/>
                    </w:rPr>
                    <w:t>/</w:t>
                  </w:r>
                  <w:r>
                    <w:rPr>
                      <w:rFonts w:ascii="Arial" w:hAnsi="宋体" w:cs="Arial"/>
                      <w:szCs w:val="21"/>
                    </w:rPr>
                    <w:t>客户反馈问题总数</w:t>
                  </w:r>
                  <w:r>
                    <w:rPr>
                      <w:rFonts w:ascii="Arial" w:hAnsi="Arial" w:cs="Arial"/>
                      <w:szCs w:val="21"/>
                    </w:rPr>
                    <w:t>×100%</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lang w:eastAsia="zh-CN"/>
                    </w:rPr>
                  </w:pPr>
                  <w:r>
                    <w:rPr>
                      <w:rFonts w:hint="eastAsia" w:cs="Times New Roman"/>
                      <w:lang w:val="en-US" w:eastAsia="zh-CN"/>
                    </w:rPr>
                    <w:t>生产部</w:t>
                  </w:r>
                </w:p>
              </w:tc>
              <w:tc>
                <w:tcPr>
                  <w:tcW w:w="1774" w:type="dxa"/>
                  <w:shd w:val="clear" w:color="auto" w:fill="auto"/>
                  <w:vAlign w:val="center"/>
                </w:tcPr>
                <w:p>
                  <w:pPr>
                    <w:shd w:val="clear" w:color="auto" w:fill="C7DAF1" w:themeFill="text2" w:themeFillTint="32"/>
                    <w:rPr>
                      <w:rFonts w:hint="default" w:ascii="Times New Roman" w:hAnsi="Times New Roman" w:eastAsia="宋体" w:cs="Times New Roman"/>
                      <w:lang w:val="en-US" w:eastAsia="zh-CN"/>
                    </w:rPr>
                  </w:pPr>
                  <w:r>
                    <w:rPr>
                      <w:rFonts w:hint="eastAsia" w:cs="Times New Roman"/>
                      <w:lang w:val="en-US" w:eastAsia="zh-CN"/>
                    </w:rPr>
                    <w:t>96分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szCs w:val="21"/>
                    </w:rPr>
                    <w:t xml:space="preserve"> </w:t>
                  </w: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both"/>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w:t>
            </w:r>
            <w:r>
              <w:rPr>
                <w:rFonts w:hint="eastAsia"/>
                <w:highlight w:val="none"/>
              </w:rPr>
              <w:t>面积</w:t>
            </w:r>
            <w:r>
              <w:rPr>
                <w:rFonts w:hint="eastAsia"/>
                <w:highlight w:val="none"/>
                <w:lang w:val="en-US" w:eastAsia="zh-CN"/>
              </w:rPr>
              <w:t xml:space="preserve"> 2000</w:t>
            </w:r>
            <w:r>
              <w:rPr>
                <w:rFonts w:hint="eastAsia"/>
                <w:highlight w:val="none"/>
              </w:rPr>
              <w:t>平方米</w:t>
            </w:r>
            <w:r>
              <w:rPr>
                <w:rFonts w:hint="eastAsia"/>
              </w:rPr>
              <w:t>；生产车间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 xml:space="preserve">1 </w:t>
            </w:r>
            <w:r>
              <w:rPr>
                <w:rFonts w:hint="eastAsia"/>
              </w:rPr>
              <w:t>个；</w:t>
            </w:r>
          </w:p>
          <w:p>
            <w:pPr>
              <w:shd w:val="clear" w:color="auto" w:fill="C7DAF1" w:themeFill="text2" w:themeFillTint="32"/>
              <w:rPr>
                <w:u w:val="single"/>
              </w:rPr>
            </w:pPr>
            <w:r>
              <w:rPr>
                <w:rFonts w:hint="eastAsia"/>
              </w:rPr>
              <w:t>主要生产设备有：</w:t>
            </w:r>
            <w:r>
              <w:rPr>
                <w:rFonts w:hint="eastAsia" w:hAnsi="宋体"/>
                <w:szCs w:val="21"/>
                <w:highlight w:val="none"/>
                <w:u w:val="single"/>
                <w:lang w:eastAsia="zh-CN"/>
              </w:rPr>
              <w:t>办公设备、除湿机、水表检定装置、水表磨损台、手动组装设备</w:t>
            </w:r>
            <w:r>
              <w:rPr>
                <w:rFonts w:hint="eastAsia" w:ascii="宋体" w:hAnsi="宋体" w:eastAsia="宋体" w:cs="宋体"/>
                <w:szCs w:val="21"/>
                <w:highlight w:val="none"/>
              </w:rPr>
              <w:t>等</w:t>
            </w:r>
            <w:r>
              <w:rPr>
                <w:rFonts w:hint="eastAsia" w:eastAsia="宋体"/>
                <w:lang w:val="en-US" w:eastAsia="zh-CN"/>
              </w:rPr>
              <w:t xml:space="preserve">   </w:t>
            </w:r>
          </w:p>
          <w:p>
            <w:pPr>
              <w:shd w:val="clear" w:color="auto" w:fill="C7DAF1" w:themeFill="text2" w:themeFillTint="32"/>
              <w:rPr>
                <w:rFonts w:hint="default" w:eastAsia="宋体"/>
                <w:lang w:val="en-US" w:eastAsia="zh-CN"/>
              </w:rPr>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rFonts w:hint="default" w:eastAsia="宋体"/>
                <w:u w:val="single"/>
                <w:lang w:val="en-US" w:eastAsia="zh-CN"/>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组织的</w:t>
            </w:r>
            <w:r>
              <w:rPr>
                <w:highlight w:val="none"/>
              </w:rPr>
              <w:t>监视和测量资源</w:t>
            </w:r>
            <w:r>
              <w:rPr>
                <w:rFonts w:hint="eastAsia"/>
                <w:highlight w:val="none"/>
              </w:rPr>
              <w:t>：</w:t>
            </w:r>
            <w:r>
              <w:rPr>
                <w:rFonts w:hint="eastAsia" w:ascii="Wingdings" w:hAnsi="Wingdings"/>
                <w:highlight w:val="none"/>
                <w:lang w:eastAsia="zh-CN"/>
              </w:rPr>
              <w:t>□</w:t>
            </w:r>
            <w:r>
              <w:rPr>
                <w:rFonts w:hint="eastAsia"/>
                <w:highlight w:val="none"/>
              </w:rPr>
              <w:t>计量器具</w:t>
            </w:r>
            <w:r>
              <w:rPr>
                <w:rFonts w:hint="eastAsia" w:ascii="Wingdings" w:hAnsi="Wingdings"/>
                <w:highlight w:val="none"/>
                <w:lang w:eastAsia="zh-CN"/>
              </w:rPr>
              <w:t>□</w:t>
            </w:r>
            <w:r>
              <w:rPr>
                <w:rFonts w:hint="eastAsia"/>
                <w:highlight w:val="none"/>
              </w:rPr>
              <w:t>服务流程检查表</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计量器具的</w:t>
            </w:r>
            <w:r>
              <w:rPr>
                <w:highlight w:val="none"/>
              </w:rPr>
              <w:t>测量溯源</w:t>
            </w:r>
            <w:r>
              <w:rPr>
                <w:rFonts w:hint="eastAsia"/>
                <w:highlight w:val="none"/>
              </w:rPr>
              <w:t>方法：</w:t>
            </w:r>
            <w:r>
              <w:rPr>
                <w:rFonts w:hint="eastAsia" w:ascii="Wingdings" w:hAnsi="Wingdings"/>
                <w:highlight w:val="none"/>
                <w:lang w:eastAsia="zh-CN"/>
              </w:rPr>
              <w:t>□</w:t>
            </w:r>
            <w:r>
              <w:rPr>
                <w:rFonts w:hint="eastAsia"/>
                <w:highlight w:val="none"/>
              </w:rPr>
              <w:t>自校</w:t>
            </w:r>
            <w:r>
              <w:rPr>
                <w:rFonts w:hint="eastAsia" w:ascii="Wingdings" w:hAnsi="Wingdings"/>
                <w:highlight w:val="none"/>
                <w:lang w:eastAsia="zh-CN"/>
              </w:rPr>
              <w:t>■</w:t>
            </w:r>
            <w:r>
              <w:rPr>
                <w:rFonts w:hint="eastAsia"/>
                <w:highlight w:val="none"/>
              </w:rPr>
              <w:t>外校</w:t>
            </w:r>
          </w:p>
          <w:p>
            <w:pPr>
              <w:shd w:val="clear" w:color="auto" w:fill="C7DAF1" w:themeFill="text2" w:themeFillTint="32"/>
              <w:rPr>
                <w:highlight w:val="none"/>
                <w:u w:val="single"/>
              </w:rPr>
            </w:pPr>
            <w:r>
              <w:rPr>
                <w:rFonts w:hint="eastAsia"/>
                <w:highlight w:val="none"/>
              </w:rPr>
              <w:t>国家强检的</w:t>
            </w:r>
            <w:r>
              <w:rPr>
                <w:rFonts w:hint="eastAsia" w:eastAsia="宋体"/>
                <w:highlight w:val="none"/>
              </w:rPr>
              <w:t>计量器具有：</w:t>
            </w:r>
            <w:r>
              <w:rPr>
                <w:rFonts w:hint="eastAsia"/>
                <w:color w:val="000000"/>
                <w:highlight w:val="none"/>
                <w:u w:val="single"/>
                <w:lang w:val="en-US" w:eastAsia="zh-CN"/>
              </w:rPr>
              <w:t>水表检定装置（7台套）、数显卡尺、数字万用表、数字示波器等</w:t>
            </w:r>
            <w:r>
              <w:rPr>
                <w:rFonts w:hint="eastAsia" w:eastAsia="宋体"/>
                <w:highlight w:val="none"/>
                <w:lang w:val="en-US" w:eastAsia="zh-CN"/>
              </w:rPr>
              <w:t>。</w:t>
            </w:r>
          </w:p>
          <w:p>
            <w:pPr>
              <w:shd w:val="clear" w:color="auto" w:fill="C7DAF1" w:themeFill="text2" w:themeFillTint="32"/>
              <w:rPr>
                <w:u w:val="single"/>
              </w:rPr>
            </w:pPr>
            <w:r>
              <w:rPr>
                <w:rFonts w:hint="eastAsia"/>
                <w:highlight w:val="none"/>
              </w:rPr>
              <w:t>计量器具管理：</w:t>
            </w:r>
            <w:r>
              <w:rPr>
                <w:rFonts w:hint="eastAsia" w:ascii="Wingdings" w:hAnsi="Wingdings"/>
                <w:highlight w:val="none"/>
                <w:lang w:eastAsia="zh-CN"/>
              </w:rPr>
              <w:t>■</w:t>
            </w:r>
            <w:r>
              <w:rPr>
                <w:rFonts w:hint="eastAsia"/>
                <w:highlight w:val="none"/>
              </w:rPr>
              <w:t>进行了定期校准/检定</w:t>
            </w:r>
            <w:r>
              <w:rPr>
                <w:rFonts w:hint="eastAsia" w:ascii="Wingdings" w:hAnsi="Wingdings"/>
                <w:highlight w:val="none"/>
                <w:lang w:eastAsia="zh-CN"/>
              </w:rPr>
              <w:t>□</w:t>
            </w:r>
            <w:r>
              <w:rPr>
                <w:rFonts w:hint="eastAsia"/>
                <w:highlight w:val="none"/>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lang w:eastAsia="zh-CN"/>
              </w:rPr>
              <w:t>■</w:t>
            </w:r>
            <w:r>
              <w:rPr>
                <w:rFonts w:hint="eastAsia"/>
              </w:rPr>
              <w:t>加工工艺</w:t>
            </w:r>
            <w:r>
              <w:rPr>
                <w:rFonts w:hint="eastAsia"/>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4"/>
              <w:gridCol w:w="254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pPr>
                  <w:r>
                    <w:rPr>
                      <w:rFonts w:hint="eastAsia"/>
                    </w:rPr>
                    <w:t>产品/服务名称</w:t>
                  </w:r>
                </w:p>
              </w:tc>
              <w:tc>
                <w:tcPr>
                  <w:tcW w:w="2543"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rPr>
                      <w:rFonts w:hint="eastAsia" w:eastAsia="宋体"/>
                      <w:lang w:eastAsia="zh-CN"/>
                    </w:rPr>
                  </w:pPr>
                  <w:r>
                    <w:rPr>
                      <w:rFonts w:hint="eastAsia" w:eastAsia="宋体"/>
                      <w:sz w:val="20"/>
                      <w:lang w:eastAsia="zh-CN"/>
                    </w:rPr>
                    <w:t>超声波水表、超声波热能表的组装；计算机信息系统集成</w:t>
                  </w:r>
                </w:p>
              </w:tc>
              <w:tc>
                <w:tcPr>
                  <w:tcW w:w="2543" w:type="dxa"/>
                </w:tcPr>
                <w:p>
                  <w:pPr>
                    <w:shd w:val="clear" w:color="auto" w:fill="C7DAF1" w:themeFill="text2" w:themeFillTint="32"/>
                    <w:jc w:val="left"/>
                    <w:rPr>
                      <w:rFonts w:hint="eastAsia" w:eastAsia="宋体"/>
                      <w:lang w:eastAsia="zh-CN"/>
                    </w:rPr>
                  </w:pPr>
                  <w:r>
                    <w:rPr>
                      <w:rFonts w:hint="eastAsia" w:ascii="Times New Roman" w:hAnsi="Times New Roman" w:eastAsia="宋体" w:cs="Times New Roman"/>
                      <w:sz w:val="20"/>
                      <w:lang w:val="en-US" w:eastAsia="zh-CN"/>
                    </w:rPr>
                    <w:t>组装</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尺寸、大小等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pPr>
                </w:p>
              </w:tc>
              <w:tc>
                <w:tcPr>
                  <w:tcW w:w="2543"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pPr>
                </w:p>
              </w:tc>
              <w:tc>
                <w:tcPr>
                  <w:tcW w:w="2543"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rFonts w:hint="default" w:eastAsia="宋体"/>
                <w:lang w:val="en-US" w:eastAsia="zh-CN"/>
              </w:rPr>
            </w:pPr>
            <w:r>
              <w:rPr>
                <w:rFonts w:hint="eastAsia"/>
              </w:rPr>
              <w:t>需要确认的过程：</w:t>
            </w:r>
            <w:r>
              <w:rPr>
                <w:rFonts w:hint="eastAsia" w:ascii="宋体" w:hAnsi="宋体" w:cs="宋体"/>
                <w:color w:val="000000"/>
                <w:sz w:val="21"/>
                <w:szCs w:val="21"/>
                <w:u w:val="single"/>
                <w:lang w:val="en-US" w:eastAsia="zh-CN"/>
              </w:rPr>
              <w:t>焊接过程</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lang w:eastAsia="zh-CN"/>
              </w:rPr>
              <w:t>■</w:t>
            </w:r>
            <w:r>
              <w:rPr>
                <w:rFonts w:hint="eastAsia"/>
              </w:rPr>
              <w:t>存在不足，说明</w:t>
            </w:r>
            <w:r>
              <w:rPr>
                <w:rFonts w:hint="eastAsia"/>
                <w:lang w:eastAsia="zh-CN"/>
              </w:rPr>
              <w:t>：</w:t>
            </w:r>
            <w:r>
              <w:rPr>
                <w:rFonts w:hint="eastAsia"/>
                <w:lang w:val="en-US" w:eastAsia="zh-CN"/>
              </w:rPr>
              <w:t>暂未用模具未进行状态标识，已开具不符合项报告，需整改</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rPr>
                <w:rFonts w:hint="default" w:eastAsia="宋体"/>
                <w:lang w:val="en-US" w:eastAsia="zh-CN"/>
              </w:rPr>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r>
              <w:rPr>
                <w:rFonts w:hint="eastAsia"/>
                <w:lang w:eastAsia="zh-CN"/>
              </w:rPr>
              <w:t>：</w:t>
            </w:r>
            <w:r>
              <w:rPr>
                <w:rFonts w:hint="eastAsia"/>
                <w:lang w:val="en-US" w:eastAsia="zh-CN"/>
              </w:rPr>
              <w:t>提供有1）E 产品测试报告及检验报告；2）E 外壳等级检验报告及防爆合格证等。</w:t>
            </w:r>
          </w:p>
          <w:p>
            <w:pPr>
              <w:rPr>
                <w:color w:val="000000"/>
                <w:highlight w:val="none"/>
              </w:rPr>
            </w:pPr>
            <w:r>
              <w:rPr>
                <w:rFonts w:hint="eastAsia" w:eastAsia="宋体"/>
              </w:rPr>
              <w:t>《型式检验报告》，</w:t>
            </w:r>
            <w:r>
              <w:rPr>
                <w:rFonts w:hint="eastAsia"/>
              </w:rPr>
              <w:t>如：</w:t>
            </w:r>
            <w:r>
              <w:rPr>
                <w:rFonts w:hint="eastAsia"/>
                <w:color w:val="000000"/>
                <w:highlight w:val="none"/>
              </w:rPr>
              <w:t>型式检验报告（证据）1：</w:t>
            </w:r>
            <w:r>
              <w:rPr>
                <w:rFonts w:hint="eastAsia"/>
                <w:color w:val="000000"/>
                <w:highlight w:val="none"/>
                <w:lang w:val="en-US" w:eastAsia="zh-CN"/>
              </w:rPr>
              <w:t>NB-IOT超声水表</w:t>
            </w:r>
          </w:p>
          <w:p>
            <w:pPr>
              <w:rPr>
                <w:rFonts w:hint="default" w:eastAsia="宋体"/>
                <w:color w:val="000000"/>
                <w:highlight w:val="none"/>
                <w:u w:val="single"/>
                <w:lang w:val="en-US" w:eastAsia="zh-CN"/>
              </w:rPr>
            </w:pPr>
            <w:r>
              <w:rPr>
                <w:rFonts w:hint="eastAsia"/>
                <w:color w:val="000000"/>
                <w:highlight w:val="none"/>
              </w:rPr>
              <w:t>检测部门名称：</w:t>
            </w:r>
            <w:r>
              <w:rPr>
                <w:rFonts w:hint="eastAsia"/>
                <w:color w:val="000000"/>
                <w:highlight w:val="none"/>
                <w:u w:val="single"/>
              </w:rPr>
              <w:t>；</w:t>
            </w:r>
            <w:r>
              <w:rPr>
                <w:rFonts w:hint="eastAsia"/>
                <w:color w:val="000000"/>
                <w:highlight w:val="none"/>
                <w:u w:val="single"/>
                <w:lang w:val="en-US" w:eastAsia="zh-CN"/>
              </w:rPr>
              <w:t>四川省电子产品监督检验所</w:t>
            </w:r>
            <w:r>
              <w:rPr>
                <w:rFonts w:hint="eastAsia"/>
                <w:color w:val="000000"/>
                <w:highlight w:val="none"/>
                <w:u w:val="single"/>
              </w:rPr>
              <w:t xml:space="preserve"> </w:t>
            </w:r>
            <w:r>
              <w:rPr>
                <w:rFonts w:hint="eastAsia"/>
                <w:color w:val="000000"/>
                <w:highlight w:val="none"/>
              </w:rPr>
              <w:t>报告编号：</w:t>
            </w:r>
            <w:r>
              <w:rPr>
                <w:rFonts w:hint="eastAsia"/>
                <w:color w:val="000000"/>
                <w:highlight w:val="none"/>
                <w:lang w:val="en-US" w:eastAsia="zh-CN"/>
              </w:rPr>
              <w:t>2021-1480</w:t>
            </w:r>
            <w:r>
              <w:rPr>
                <w:rFonts w:hint="eastAsia"/>
                <w:color w:val="000000"/>
                <w:highlight w:val="none"/>
              </w:rPr>
              <w:t>报告日期：</w:t>
            </w:r>
            <w:r>
              <w:rPr>
                <w:rFonts w:hint="eastAsia"/>
                <w:color w:val="000000"/>
                <w:highlight w:val="none"/>
                <w:lang w:val="en-US" w:eastAsia="zh-CN"/>
              </w:rPr>
              <w:t>2021年6月1日-2021年6月3日</w:t>
            </w:r>
          </w:p>
          <w:p>
            <w:pPr>
              <w:rPr>
                <w:color w:val="000000"/>
                <w:highlight w:val="none"/>
              </w:rPr>
            </w:pPr>
            <w:r>
              <w:rPr>
                <w:rFonts w:hint="eastAsia"/>
                <w:color w:val="000000"/>
                <w:highlight w:val="none"/>
              </w:rPr>
              <w:t>执行标准：</w:t>
            </w:r>
            <w:r>
              <w:rPr>
                <w:rFonts w:hint="eastAsia"/>
                <w:color w:val="000000"/>
                <w:highlight w:val="none"/>
                <w:u w:val="single"/>
                <w:lang w:val="en-US" w:eastAsia="zh-CN"/>
              </w:rPr>
              <w:t>GB/T 4208-2017</w:t>
            </w:r>
            <w:r>
              <w:rPr>
                <w:rFonts w:hint="eastAsia"/>
                <w:color w:val="000000"/>
                <w:highlight w:val="none"/>
                <w:u w:val="single"/>
              </w:rPr>
              <w:t xml:space="preserve">； </w:t>
            </w:r>
          </w:p>
          <w:p>
            <w:pPr>
              <w:rPr>
                <w:color w:val="000000"/>
                <w:highlight w:val="none"/>
              </w:rPr>
            </w:pPr>
            <w:r>
              <w:rPr>
                <w:rFonts w:hint="eastAsia"/>
                <w:color w:val="000000"/>
                <w:highlight w:val="none"/>
              </w:rPr>
              <w:t>结论：</w:t>
            </w:r>
            <w:r>
              <w:rPr>
                <w:rFonts w:hint="eastAsia"/>
                <w:color w:val="000000"/>
                <w:szCs w:val="21"/>
                <w:highlight w:val="none"/>
                <w:lang w:eastAsia="zh-CN"/>
              </w:rPr>
              <w:t>☑</w:t>
            </w:r>
            <w:r>
              <w:rPr>
                <w:rFonts w:hint="eastAsia"/>
                <w:color w:val="000000"/>
                <w:highlight w:val="none"/>
              </w:rPr>
              <w:t xml:space="preserve">合格 </w:t>
            </w:r>
            <w:r>
              <w:rPr>
                <w:rFonts w:hint="eastAsia"/>
                <w:color w:val="000000"/>
                <w:szCs w:val="21"/>
                <w:highlight w:val="none"/>
              </w:rPr>
              <w:t>□</w:t>
            </w:r>
            <w:r>
              <w:rPr>
                <w:rFonts w:hint="eastAsia"/>
                <w:color w:val="000000"/>
                <w:highlight w:val="none"/>
              </w:rPr>
              <w:t xml:space="preserve">不合格 </w:t>
            </w:r>
            <w:r>
              <w:rPr>
                <w:rFonts w:hint="eastAsia"/>
                <w:color w:val="000000"/>
                <w:szCs w:val="21"/>
                <w:highlight w:val="none"/>
              </w:rPr>
              <w:t>□</w:t>
            </w:r>
            <w:r>
              <w:rPr>
                <w:rFonts w:hint="eastAsia"/>
                <w:color w:val="000000"/>
                <w:highlight w:val="none"/>
              </w:rPr>
              <w:t xml:space="preserve">项目齐全 </w:t>
            </w:r>
            <w:r>
              <w:rPr>
                <w:rFonts w:hint="eastAsia"/>
                <w:color w:val="000000"/>
                <w:szCs w:val="21"/>
                <w:highlight w:val="none"/>
              </w:rPr>
              <w:t>□</w:t>
            </w:r>
            <w:r>
              <w:rPr>
                <w:rFonts w:hint="eastAsia"/>
                <w:color w:val="000000"/>
                <w:highlight w:val="none"/>
              </w:rPr>
              <w:t>项目不齐全</w:t>
            </w:r>
          </w:p>
          <w:p>
            <w:pPr>
              <w:rPr>
                <w:color w:val="000000"/>
                <w:highlight w:val="none"/>
              </w:rPr>
            </w:pPr>
          </w:p>
          <w:p>
            <w:pPr>
              <w:rPr>
                <w:rFonts w:hint="default"/>
                <w:color w:val="000000"/>
                <w:highlight w:val="none"/>
                <w:lang w:val="en-US"/>
              </w:rPr>
            </w:pPr>
            <w:r>
              <w:rPr>
                <w:rFonts w:hint="eastAsia"/>
                <w:color w:val="000000"/>
                <w:highlight w:val="none"/>
              </w:rPr>
              <w:t>型式检验报告（证据）</w:t>
            </w:r>
            <w:r>
              <w:rPr>
                <w:rFonts w:hint="eastAsia"/>
                <w:color w:val="000000"/>
                <w:highlight w:val="none"/>
                <w:lang w:val="en-US" w:eastAsia="zh-CN"/>
              </w:rPr>
              <w:t>2</w:t>
            </w:r>
            <w:r>
              <w:rPr>
                <w:rFonts w:hint="eastAsia"/>
                <w:color w:val="000000"/>
                <w:highlight w:val="none"/>
              </w:rPr>
              <w:t>：</w:t>
            </w:r>
            <w:r>
              <w:rPr>
                <w:rFonts w:hint="eastAsia"/>
                <w:color w:val="000000"/>
                <w:highlight w:val="none"/>
                <w:lang w:val="en-US" w:eastAsia="zh-CN"/>
              </w:rPr>
              <w:t>超声波热能表</w:t>
            </w:r>
          </w:p>
          <w:p>
            <w:pPr>
              <w:rPr>
                <w:rFonts w:hint="eastAsia"/>
                <w:color w:val="000000"/>
                <w:highlight w:val="none"/>
                <w:lang w:val="en-US" w:eastAsia="zh-CN"/>
              </w:rPr>
            </w:pPr>
            <w:r>
              <w:rPr>
                <w:rFonts w:hint="eastAsia"/>
                <w:color w:val="000000"/>
                <w:highlight w:val="none"/>
              </w:rPr>
              <w:t>检测部门名称：</w:t>
            </w:r>
            <w:r>
              <w:rPr>
                <w:rFonts w:hint="eastAsia"/>
                <w:color w:val="000000"/>
                <w:highlight w:val="none"/>
                <w:u w:val="single"/>
              </w:rPr>
              <w:t>；</w:t>
            </w:r>
            <w:r>
              <w:rPr>
                <w:rFonts w:hint="eastAsia"/>
                <w:color w:val="000000"/>
                <w:highlight w:val="none"/>
                <w:u w:val="single"/>
                <w:lang w:val="en-US" w:eastAsia="zh-CN"/>
              </w:rPr>
              <w:t>四川省电子产品监督检验所</w:t>
            </w:r>
            <w:r>
              <w:rPr>
                <w:rFonts w:hint="eastAsia"/>
                <w:color w:val="000000"/>
                <w:highlight w:val="none"/>
                <w:u w:val="single"/>
              </w:rPr>
              <w:t xml:space="preserve"> </w:t>
            </w:r>
            <w:r>
              <w:rPr>
                <w:rFonts w:hint="eastAsia"/>
                <w:color w:val="000000"/>
                <w:highlight w:val="none"/>
              </w:rPr>
              <w:t>报告编号：</w:t>
            </w:r>
            <w:r>
              <w:rPr>
                <w:rFonts w:hint="eastAsia"/>
                <w:color w:val="000000"/>
                <w:highlight w:val="none"/>
                <w:lang w:val="en-US" w:eastAsia="zh-CN"/>
              </w:rPr>
              <w:t>2021-1489</w:t>
            </w:r>
            <w:r>
              <w:rPr>
                <w:rFonts w:hint="eastAsia"/>
                <w:color w:val="000000"/>
                <w:highlight w:val="none"/>
              </w:rPr>
              <w:t>报告日期：</w:t>
            </w:r>
            <w:r>
              <w:rPr>
                <w:rFonts w:hint="eastAsia"/>
                <w:color w:val="000000"/>
                <w:highlight w:val="none"/>
                <w:lang w:val="en-US" w:eastAsia="zh-CN"/>
              </w:rPr>
              <w:t>2021年7月6日</w:t>
            </w:r>
          </w:p>
          <w:p>
            <w:pPr>
              <w:rPr>
                <w:color w:val="000000"/>
                <w:u w:val="single"/>
              </w:rPr>
            </w:pPr>
            <w:r>
              <w:rPr>
                <w:rFonts w:hint="eastAsia"/>
                <w:color w:val="000000"/>
                <w:highlight w:val="none"/>
              </w:rPr>
              <w:t>执行标准：</w:t>
            </w:r>
            <w:r>
              <w:rPr>
                <w:rFonts w:hint="eastAsia"/>
                <w:color w:val="000000"/>
                <w:highlight w:val="none"/>
                <w:u w:val="single"/>
                <w:lang w:val="en-US" w:eastAsia="zh-CN"/>
              </w:rPr>
              <w:t>GB/T 2423.1-2008;GB/T 2423.2-2008;GB/T 2423.4-2008;GB/T 4208-2017</w:t>
            </w:r>
            <w:r>
              <w:rPr>
                <w:rFonts w:hint="eastAsia"/>
                <w:color w:val="000000"/>
                <w:highlight w:val="none"/>
                <w:u w:val="single"/>
              </w:rPr>
              <w:t>；</w:t>
            </w:r>
            <w:r>
              <w:rPr>
                <w:rFonts w:hint="eastAsia"/>
                <w:color w:val="000000"/>
                <w:u w:val="none"/>
                <w:lang w:val="en-US" w:eastAsia="zh-CN"/>
              </w:rPr>
              <w:t>。</w:t>
            </w:r>
            <w:r>
              <w:rPr>
                <w:rFonts w:hint="eastAsia"/>
                <w:color w:val="000000"/>
                <w:u w:val="none"/>
              </w:rPr>
              <w:t xml:space="preserve"> </w:t>
            </w:r>
          </w:p>
          <w:p>
            <w:pPr>
              <w:shd w:val="clear" w:color="auto" w:fill="C7DAF1" w:themeFill="text2" w:themeFillTint="32"/>
            </w:pPr>
            <w:r>
              <w:rPr>
                <w:rFonts w:hint="eastAsia"/>
                <w:color w:val="000000"/>
              </w:rPr>
              <w:t>执行标准：</w:t>
            </w:r>
            <w:r>
              <w:rPr>
                <w:rFonts w:hint="eastAsia"/>
                <w:color w:val="000000"/>
                <w:u w:val="single"/>
              </w:rPr>
              <w:t xml:space="preserve"> </w:t>
            </w:r>
            <w:r>
              <w:rPr>
                <w:rFonts w:hint="eastAsia"/>
                <w:color w:val="000000"/>
                <w:u w:val="single"/>
                <w:lang w:val="en-US" w:eastAsia="zh-CN"/>
              </w:rPr>
              <w:t>GB/T6968-2019《膜式燃气表》</w:t>
            </w:r>
            <w:r>
              <w:rPr>
                <w:color w:val="000000"/>
                <w:u w:val="single"/>
              </w:rPr>
              <w:t xml:space="preserve">   </w:t>
            </w:r>
            <w:r>
              <w:rPr>
                <w:rFonts w:hint="eastAsia"/>
                <w:color w:val="000000"/>
                <w:u w:val="single"/>
              </w:rPr>
              <w:t>；</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highlight w:val="none"/>
              </w:rPr>
              <w:t>策划于</w:t>
            </w:r>
            <w:r>
              <w:rPr>
                <w:rFonts w:hint="eastAsia" w:ascii="宋体" w:hAnsi="宋体" w:cs="宋体"/>
                <w:szCs w:val="21"/>
                <w:highlight w:val="none"/>
                <w:u w:val="single"/>
                <w:lang w:eastAsia="zh-CN"/>
              </w:rPr>
              <w:t>2022年3月16日-17日</w:t>
            </w:r>
            <w:r>
              <w:rPr>
                <w:rFonts w:hint="eastAsia"/>
                <w:highlight w:val="none"/>
              </w:rPr>
              <w:t>实施了质量管理体</w:t>
            </w:r>
            <w:r>
              <w:rPr>
                <w:rFonts w:hint="eastAsia"/>
              </w:rPr>
              <w:t>系内部审核，对质量管理体系的符合性和有效性进行了审核。内审发现的</w:t>
            </w:r>
            <w:r>
              <w:rPr>
                <w:rFonts w:hint="eastAsia"/>
                <w:u w:val="single"/>
                <w:lang w:val="en-US" w:eastAsia="zh-CN"/>
              </w:rPr>
              <w:t>1</w:t>
            </w:r>
            <w:r>
              <w:rPr>
                <w:rFonts w:hint="eastAsia"/>
                <w:u w:val="single"/>
              </w:rPr>
              <w:t>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w:t>
            </w:r>
            <w:r>
              <w:rPr>
                <w:rFonts w:hint="eastAsia"/>
                <w:highlight w:val="none"/>
              </w:rPr>
              <w:t>在</w:t>
            </w:r>
            <w:r>
              <w:rPr>
                <w:rFonts w:hint="eastAsia"/>
                <w:color w:val="auto"/>
                <w:u w:val="single"/>
                <w:lang w:eastAsia="zh-CN"/>
              </w:rPr>
              <w:t>2022年3月25日</w:t>
            </w:r>
            <w:r>
              <w:rPr>
                <w:rFonts w:hint="eastAsia"/>
                <w:highlight w:val="none"/>
              </w:rPr>
              <w:t>对组织</w:t>
            </w:r>
            <w:r>
              <w:rPr>
                <w:rFonts w:hint="eastAsia"/>
              </w:rPr>
              <w:t>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rFonts w:hint="eastAsia" w:eastAsia="宋体"/>
                <w:lang w:val="en-US" w:eastAsia="zh-CN"/>
              </w:rPr>
            </w:pPr>
          </w:p>
        </w:tc>
        <w:tc>
          <w:tcPr>
            <w:tcW w:w="649" w:type="dxa"/>
            <w:vAlign w:val="center"/>
          </w:tcPr>
          <w:p>
            <w:pPr>
              <w:shd w:val="clear" w:color="auto" w:fill="C7DAF1" w:themeFill="text2" w:themeFillTint="32"/>
              <w:rPr>
                <w:rFonts w:hint="eastAsia" w:eastAsia="宋体"/>
                <w:lang w:val="en-US" w:eastAsia="zh-CN"/>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rFonts w:hint="eastAsia" w:eastAsia="宋体"/>
                <w:lang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eastAsia="zh-CN"/>
              </w:rPr>
            </w:pPr>
            <w:r>
              <w:rPr>
                <w:rFonts w:hint="eastAsia"/>
                <w:lang w:val="en-US" w:eastAsia="zh-CN"/>
              </w:rP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default" w:eastAsia="宋体"/>
                <w:highlight w:val="none"/>
                <w:lang w:val="en-US" w:eastAsia="zh-CN"/>
              </w:rPr>
            </w:pPr>
            <w:r>
              <w:rPr>
                <w:rFonts w:hint="eastAsia" w:eastAsia="宋体"/>
                <w:highlight w:val="none"/>
                <w:lang w:val="en-US" w:eastAsia="zh-CN"/>
              </w:rPr>
              <w:t>3</w:t>
            </w: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eastAsia="宋体"/>
                <w:lang w:val="en-US" w:eastAsia="zh-CN"/>
              </w:rPr>
              <w:t>1</w:t>
            </w:r>
            <w:bookmarkStart w:id="34" w:name="_GoBack"/>
            <w:bookmarkEnd w:id="34"/>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49"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756" w:firstLineChars="400"/>
      <w:jc w:val="left"/>
      <w:rPr>
        <w:rStyle w:val="20"/>
        <w:rFonts w:hint="default"/>
      </w:rPr>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I4MWU3MDczOTkxMDk2MzJiODM1NDdkNjA1ZDJkNjkifQ=="/>
  </w:docVars>
  <w:rsids>
    <w:rsidRoot w:val="00000000"/>
    <w:rsid w:val="0C3E392D"/>
    <w:rsid w:val="29D975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spacing w:before="260" w:after="260" w:line="416" w:lineRule="auto"/>
      <w:outlineLvl w:val="1"/>
    </w:pPr>
    <w:rPr>
      <w:rFonts w:ascii="Cambria" w:hAnsi="Cambria"/>
      <w:b/>
      <w:bCs/>
      <w:kern w:val="0"/>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ody Text"/>
    <w:basedOn w:val="1"/>
    <w:next w:val="1"/>
    <w:qFormat/>
    <w:uiPriority w:val="0"/>
    <w:pPr>
      <w:spacing w:after="120"/>
    </w:p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7"/>
    <w:qFormat/>
    <w:uiPriority w:val="99"/>
    <w:rPr>
      <w:rFonts w:ascii="Times New Roman" w:hAnsi="Times New Roman" w:eastAsia="宋体" w:cs="Times New Roman"/>
      <w:sz w:val="18"/>
      <w:szCs w:val="18"/>
    </w:rPr>
  </w:style>
  <w:style w:type="character" w:customStyle="1" w:styleId="17">
    <w:name w:val="页脚 Char"/>
    <w:basedOn w:val="12"/>
    <w:link w:val="6"/>
    <w:qFormat/>
    <w:uiPriority w:val="99"/>
    <w:rPr>
      <w:rFonts w:ascii="Times New Roman" w:hAnsi="Times New Roman" w:eastAsia="宋体" w:cs="Times New Roman"/>
      <w:sz w:val="18"/>
      <w:szCs w:val="18"/>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7861</Words>
  <Characters>8407</Characters>
  <Lines>150</Lines>
  <Paragraphs>42</Paragraphs>
  <TotalTime>0</TotalTime>
  <ScaleCrop>false</ScaleCrop>
  <LinksUpToDate>false</LinksUpToDate>
  <CharactersWithSpaces>8524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宋明珠</cp:lastModifiedBy>
  <cp:lastPrinted>2019-05-13T03:19:00Z</cp:lastPrinted>
  <dcterms:modified xsi:type="dcterms:W3CDTF">2022-05-02T16:32:05Z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