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0065-2020-QEO-2022</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叙永县泰宇建材有限公司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Q:ISC-Q-2020-0778,E:ISC-E-2020-0531,O:ISC-O-2020-0488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91510524592772556E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r>
              <w:rPr>
                <w:rFonts w:hint="eastAsia"/>
                <w:b/>
                <w:color w:val="000000" w:themeColor="text1"/>
                <w:spacing w:val="-2"/>
                <w:sz w:val="21"/>
                <w:szCs w:val="21"/>
                <w:lang w:eastAsia="zh-CN"/>
                <w14:textFill>
                  <w14:solidFill>
                    <w14:schemeClr w14:val="tx1"/>
                  </w14:solidFill>
                </w14:textFill>
              </w:rPr>
              <w:t>☑</w:t>
            </w:r>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叙永县泰宇建材有限公司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Q：建材（不含危化品）的销售</w:t>
            </w:r>
          </w:p>
          <w:p>
            <w:pPr>
              <w:snapToGrid w:val="0"/>
              <w:spacing w:line="0" w:lineRule="atLeast"/>
              <w:jc w:val="left"/>
              <w:rPr>
                <w:sz w:val="22"/>
                <w:szCs w:val="22"/>
              </w:rPr>
            </w:pPr>
            <w:r>
              <w:rPr>
                <w:sz w:val="22"/>
                <w:szCs w:val="22"/>
              </w:rPr>
              <w:t>E：建材（不含危化品）的销售及相关环境管理活动</w:t>
            </w:r>
          </w:p>
          <w:p>
            <w:pPr>
              <w:snapToGrid w:val="0"/>
              <w:spacing w:line="0" w:lineRule="atLeast"/>
              <w:jc w:val="left"/>
              <w:rPr>
                <w:sz w:val="22"/>
                <w:szCs w:val="22"/>
              </w:rPr>
            </w:pPr>
            <w:r>
              <w:rPr>
                <w:sz w:val="22"/>
                <w:szCs w:val="22"/>
              </w:rPr>
              <w:t>O：建材（不含危化品）的销售及相关职业健康安全管理活动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叙永县麻城镇麻城街419号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四川省泸州市叙永县叙永镇安居村一社</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cs="Arial"/>
                <w:b/>
                <w:bCs/>
                <w:sz w:val="22"/>
                <w:szCs w:val="16"/>
              </w:rPr>
            </w:pPr>
            <w:r>
              <w:rPr>
                <w:rFonts w:hint="eastAsia" w:cs="Arial"/>
                <w:b/>
                <w:bCs/>
                <w:sz w:val="22"/>
                <w:szCs w:val="16"/>
              </w:rPr>
              <w:t>Company Name</w:t>
            </w:r>
            <w:r>
              <w:rPr>
                <w:rFonts w:hint="eastAsia" w:cs="Arial"/>
                <w:b/>
                <w:bCs/>
                <w:sz w:val="22"/>
                <w:szCs w:val="16"/>
                <w:lang w:val="en-GB"/>
              </w:rPr>
              <w:t>公司名称</w:t>
            </w:r>
          </w:p>
        </w:tc>
        <w:tc>
          <w:tcPr>
            <w:tcW w:w="3373" w:type="dxa"/>
            <w:vMerge w:val="restart"/>
          </w:tcPr>
          <w:p>
            <w:pPr>
              <w:snapToGrid w:val="0"/>
              <w:spacing w:line="0" w:lineRule="atLeast"/>
              <w:jc w:val="left"/>
              <w:rPr>
                <w:rFonts w:hint="eastAsia" w:cs="Arial"/>
                <w:b/>
                <w:bCs/>
                <w:sz w:val="22"/>
                <w:szCs w:val="16"/>
              </w:rPr>
            </w:pPr>
            <w:r>
              <w:rPr>
                <w:rFonts w:hint="eastAsia" w:cs="Arial"/>
                <w:b/>
                <w:bCs/>
                <w:sz w:val="22"/>
                <w:szCs w:val="16"/>
              </w:rPr>
              <w:t>Xuyong Taiyu Building Materials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sz w:val="22"/>
                <w:szCs w:val="22"/>
              </w:rPr>
            </w:pPr>
            <w:r>
              <w:rPr>
                <w:rFonts w:hint="eastAsia"/>
                <w:sz w:val="22"/>
                <w:szCs w:val="22"/>
              </w:rPr>
              <w:t>Q: Sales of building materials (excluding hazardous chemicals)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sz w:val="22"/>
                <w:szCs w:val="22"/>
              </w:rPr>
            </w:pPr>
            <w:r>
              <w:rPr>
                <w:rFonts w:hint="eastAsia"/>
                <w:sz w:val="22"/>
                <w:szCs w:val="22"/>
              </w:rPr>
              <w:t>E: Sales of building materials (excluding hazardous chemicals) and related environmental management activities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No.419, Macheng Street, Macheng Town, Xuyong County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 Sales of building materials (excluding hazardous chemicals)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A community in Anju Village, Xuyong Town, Xuyong County, Luzhou City, Sichuan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vAlign w:val="top"/>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ascii="Times New Roman" w:hAnsi="Times New Roman" w:eastAsia="宋体" w:cs="Arial"/>
                <w:b/>
                <w:bCs/>
                <w:kern w:val="2"/>
                <w:sz w:val="22"/>
                <w:szCs w:val="16"/>
                <w:lang w:val="en-US" w:eastAsia="zh-CN" w:bidi="ar-SA"/>
              </w:rPr>
            </w:pPr>
          </w:p>
        </w:tc>
        <w:tc>
          <w:tcPr>
            <w:tcW w:w="1370" w:type="dxa"/>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18"/>
              </w:rPr>
              <w:t>审核组长签字</w:t>
            </w:r>
          </w:p>
        </w:tc>
        <w:tc>
          <w:tcPr>
            <w:tcW w:w="1976" w:type="dxa"/>
            <w:vAlign w:val="top"/>
          </w:tcPr>
          <w:p>
            <w:pPr>
              <w:snapToGrid w:val="0"/>
              <w:spacing w:line="0" w:lineRule="atLeast"/>
              <w:jc w:val="left"/>
              <w:rPr>
                <w:rFonts w:hint="eastAsia"/>
                <w:sz w:val="22"/>
                <w:szCs w:val="22"/>
                <w:lang w:val="en-US" w:eastAsia="zh-CN"/>
              </w:rPr>
            </w:pPr>
            <w:bookmarkStart w:id="20" w:name="_GoBack"/>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295275</wp:posOffset>
                  </wp:positionH>
                  <wp:positionV relativeFrom="paragraph">
                    <wp:posOffset>-295275</wp:posOffset>
                  </wp:positionV>
                  <wp:extent cx="273685" cy="927100"/>
                  <wp:effectExtent l="0" t="0" r="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5"/>
                          <a:stretch>
                            <a:fillRect/>
                          </a:stretch>
                        </pic:blipFill>
                        <pic:spPr>
                          <a:xfrm rot="-5400000">
                            <a:off x="0" y="0"/>
                            <a:ext cx="273685" cy="927100"/>
                          </a:xfrm>
                          <a:prstGeom prst="rect">
                            <a:avLst/>
                          </a:prstGeom>
                          <a:noFill/>
                          <a:ln>
                            <a:noFill/>
                          </a:ln>
                        </pic:spPr>
                      </pic:pic>
                    </a:graphicData>
                  </a:graphic>
                </wp:anchor>
              </w:drawing>
            </w:r>
            <w:bookmarkEnd w:id="20"/>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lang w:val="en-US" w:eastAsia="zh-CN"/>
              </w:rPr>
              <w:t>2022.4.13</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22BD1"/>
    <w:rsid w:val="1B5138DF"/>
    <w:rsid w:val="1DD93693"/>
    <w:rsid w:val="2EC77842"/>
    <w:rsid w:val="395733D2"/>
    <w:rsid w:val="39DF5242"/>
    <w:rsid w:val="67A3460A"/>
    <w:rsid w:val="77FF5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782</Words>
  <Characters>1506</Characters>
  <Lines>18</Lines>
  <Paragraphs>5</Paragraphs>
  <TotalTime>0</TotalTime>
  <ScaleCrop>false</ScaleCrop>
  <LinksUpToDate>false</LinksUpToDate>
  <CharactersWithSpaces>1699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2022-04-13T08:20:40Z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944D8BC45843478FA9E5318999749345</vt:lpwstr>
  </property>
  <property fmtid="{D5CDD505-2E9C-101B-9397-08002B2CF9AE}" pid="3" name="KSOProductBuildVer">
    <vt:lpwstr>2052-11.1.0.11365</vt:lpwstr>
  </property>
</Properties>
</file>