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0303-2021-QEO-2022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重庆亿森动力环境科技有限公司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重庆亿森动力环境科技有限公司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重庆市南川区西城街道办事处白果路16号2幢第2层</w:t>
            </w:r>
            <w:bookmarkEnd w:id="6"/>
          </w:p>
        </w:tc>
        <w:tc>
          <w:tcPr>
            <w:tcW w:w="1242" w:type="dxa"/>
            <w:vMerge w:val="restart"/>
            <w:vAlign w:val="center"/>
          </w:tcPr>
          <w:p>
            <w:r>
              <w:rPr>
                <w:rFonts w:hint="eastAsia"/>
              </w:rPr>
              <w:t>邮编</w:t>
            </w:r>
          </w:p>
        </w:tc>
        <w:tc>
          <w:tcPr>
            <w:tcW w:w="1771" w:type="dxa"/>
          </w:tcPr>
          <w:p>
            <w:bookmarkStart w:id="7" w:name="注册邮编"/>
            <w:r>
              <w:t>408402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重庆市南川区西城街道办事处白果路16号2幢第2层</w:t>
            </w:r>
            <w:bookmarkEnd w:id="8"/>
          </w:p>
        </w:tc>
        <w:tc>
          <w:tcPr>
            <w:tcW w:w="1242" w:type="dxa"/>
            <w:vMerge w:val="continue"/>
            <w:vAlign w:val="center"/>
          </w:tcPr>
          <w:p/>
        </w:tc>
        <w:tc>
          <w:tcPr>
            <w:tcW w:w="1771" w:type="dxa"/>
          </w:tcPr>
          <w:p>
            <w:bookmarkStart w:id="9" w:name="办公邮编"/>
            <w:r>
              <w:t>408402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任水明</w:t>
            </w:r>
            <w:bookmarkEnd w:id="10"/>
          </w:p>
        </w:tc>
        <w:tc>
          <w:tcPr>
            <w:tcW w:w="1313" w:type="dxa"/>
            <w:vAlign w:val="center"/>
          </w:tcPr>
          <w:p>
            <w:r>
              <w:rPr>
                <w:rFonts w:hint="eastAsia"/>
              </w:rPr>
              <w:t>电话.</w:t>
            </w:r>
          </w:p>
        </w:tc>
        <w:tc>
          <w:tcPr>
            <w:tcW w:w="2180" w:type="dxa"/>
            <w:vAlign w:val="center"/>
          </w:tcPr>
          <w:p>
            <w:bookmarkStart w:id="11" w:name="联系人电话"/>
            <w:r>
              <w:t>023-71453888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周立明</w:t>
            </w:r>
            <w:bookmarkEnd w:id="13"/>
          </w:p>
        </w:tc>
        <w:tc>
          <w:tcPr>
            <w:tcW w:w="1313" w:type="dxa"/>
            <w:vAlign w:val="center"/>
          </w:tcPr>
          <w:p>
            <w:r>
              <w:rPr>
                <w:rFonts w:hint="eastAsia"/>
              </w:rPr>
              <w:t>管理者代表</w:t>
            </w:r>
          </w:p>
        </w:tc>
        <w:tc>
          <w:tcPr>
            <w:tcW w:w="2180" w:type="dxa"/>
          </w:tcPr>
          <w:p>
            <w:bookmarkStart w:id="14" w:name="管理者代表"/>
            <w:r>
              <w:t>陈茂生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none"/>
              </w:rPr>
            </w:pPr>
          </w:p>
          <w:p>
            <w:pPr>
              <w:rPr>
                <w:highlight w:val="none"/>
              </w:rPr>
            </w:pPr>
          </w:p>
        </w:tc>
        <w:tc>
          <w:tcPr>
            <w:tcW w:w="8058" w:type="dxa"/>
            <w:gridSpan w:val="5"/>
            <w:shd w:val="clear" w:color="auto" w:fill="auto"/>
          </w:tcPr>
          <w:p>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工艺</w:t>
            </w:r>
            <w:r>
              <w:rPr>
                <w:rFonts w:hint="eastAsia" w:ascii="宋体" w:hAnsi="宋体" w:eastAsia="宋体" w:cs="宋体"/>
                <w:kern w:val="0"/>
                <w:sz w:val="21"/>
                <w:szCs w:val="21"/>
                <w:highlight w:val="none"/>
              </w:rPr>
              <w:t>流程：</w:t>
            </w:r>
          </w:p>
          <w:p>
            <w:pPr>
              <w:rPr>
                <w:highlight w:val="none"/>
              </w:rPr>
            </w:pPr>
            <w:r>
              <w:rPr>
                <w:rFonts w:hint="eastAsia" w:ascii="宋体" w:hAnsi="宋体" w:cs="宋体"/>
                <w:kern w:val="0"/>
                <w:sz w:val="21"/>
                <w:szCs w:val="21"/>
                <w:highlight w:val="none"/>
              </w:rPr>
              <w:t>来料检验---装配（结构组件安装、配电单元安装、粉尘模块安装、四气体模块安装、主控模块安装）——调试/测试---终检---包装----入库</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 </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2022年04月14日 上午至2022年04月14日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highlight w:val="none"/>
              </w:rPr>
            </w:pPr>
            <w:r>
              <w:rPr>
                <w:rFonts w:hint="eastAsia" w:cs="Arial"/>
                <w:b/>
                <w:bCs/>
                <w:color w:val="0000FF"/>
                <w:szCs w:val="21"/>
                <w:highlight w:val="none"/>
              </w:rPr>
              <w:t>审核地址（含远程）</w:t>
            </w:r>
          </w:p>
        </w:tc>
        <w:tc>
          <w:tcPr>
            <w:tcW w:w="7831" w:type="dxa"/>
            <w:gridSpan w:val="3"/>
            <w:tcMar>
              <w:left w:w="113" w:type="dxa"/>
            </w:tcMar>
          </w:tcPr>
          <w:p>
            <w:pPr>
              <w:rPr>
                <w:rFonts w:ascii="宋体"/>
                <w:b/>
                <w:color w:val="0000FF"/>
                <w:szCs w:val="21"/>
                <w:highlight w:val="none"/>
              </w:rPr>
            </w:pPr>
            <w:r>
              <w:rPr>
                <w:rFonts w:asciiTheme="minorEastAsia" w:hAnsiTheme="minorEastAsia" w:eastAsiaTheme="minorEastAsia"/>
                <w:color w:val="000000" w:themeColor="text1"/>
                <w:sz w:val="20"/>
                <w:highlight w:val="none"/>
              </w:rPr>
              <w:t>重庆市南川区西城街道办事处白果路16号2幢第2层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Q：空气质量检测仪的组装</w:t>
            </w:r>
          </w:p>
          <w:p>
            <w:r>
              <w:t>E：空气质量检测仪的组装所涉及场所的相关环境管理活动。</w:t>
            </w:r>
          </w:p>
          <w:p>
            <w:r>
              <w:t>O：空气质量检测仪的组装所涉及场所的相关职业健康安全管理活动。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Q：19.05.01</w:t>
            </w:r>
          </w:p>
          <w:p>
            <w:r>
              <w:t>E：19.05.01</w:t>
            </w:r>
          </w:p>
          <w:p>
            <w:r>
              <w:t>O：19.05.01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2021-12-01</w:t>
            </w: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ascii="宋体" w:hAnsi="宋体" w:eastAsia="宋体" w:cs="宋体"/>
                <w:highlight w:val="none"/>
              </w:rPr>
              <w:t>■</w:t>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lang w:val="en-US" w:eastAsia="zh-CN"/>
              </w:rPr>
              <w:t>2021.4.14</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ascii="Times New Roman" w:hAnsi="Times New Roman" w:eastAsia="宋体" w:cs="Times New Roman"/>
                <w:highlight w:val="none"/>
                <w:lang w:val="en-US" w:eastAsia="zh-CN"/>
              </w:rPr>
              <w:t>有效至 </w:t>
            </w:r>
            <w:r>
              <w:rPr>
                <w:rFonts w:hint="default" w:ascii="Times New Roman" w:hAnsi="Times New Roman" w:eastAsia="宋体" w:cs="Times New Roman"/>
                <w:highlight w:val="none"/>
                <w:lang w:val="en-US" w:eastAsia="zh-CN"/>
              </w:rPr>
              <w:t>2024-04-18</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6"/>
        <w:gridCol w:w="1540"/>
        <w:gridCol w:w="590"/>
        <w:gridCol w:w="2840"/>
        <w:gridCol w:w="1710"/>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76" w:type="dxa"/>
            <w:shd w:val="clear" w:color="auto" w:fill="F3F3F3"/>
            <w:tcMar>
              <w:left w:w="57" w:type="dxa"/>
              <w:right w:w="57" w:type="dxa"/>
            </w:tcMar>
          </w:tcPr>
          <w:p>
            <w:r>
              <w:rPr>
                <w:rFonts w:hint="eastAsia"/>
              </w:rPr>
              <w:t>组织名称及注册场所地址</w:t>
            </w:r>
          </w:p>
        </w:tc>
        <w:tc>
          <w:tcPr>
            <w:tcW w:w="1540" w:type="dxa"/>
            <w:shd w:val="clear" w:color="auto" w:fill="F3F3F3"/>
            <w:tcMar>
              <w:left w:w="57" w:type="dxa"/>
              <w:right w:w="57" w:type="dxa"/>
            </w:tcMar>
          </w:tcPr>
          <w:p>
            <w:r>
              <w:rPr>
                <w:rFonts w:hint="eastAsia"/>
              </w:rPr>
              <w:t>经营场所的地址</w:t>
            </w:r>
          </w:p>
          <w:p>
            <w:r>
              <w:rPr>
                <w:rFonts w:hint="eastAsia"/>
              </w:rPr>
              <w:t>（多现场和临时现场）</w:t>
            </w:r>
          </w:p>
        </w:tc>
        <w:tc>
          <w:tcPr>
            <w:tcW w:w="590" w:type="dxa"/>
            <w:shd w:val="clear" w:color="auto" w:fill="F3F3F3"/>
            <w:tcMar>
              <w:left w:w="57" w:type="dxa"/>
              <w:right w:w="57" w:type="dxa"/>
            </w:tcMar>
          </w:tcPr>
          <w:p>
            <w:r>
              <w:rPr>
                <w:rFonts w:hint="eastAsia"/>
              </w:rPr>
              <w:t>员工人数</w:t>
            </w:r>
          </w:p>
        </w:tc>
        <w:tc>
          <w:tcPr>
            <w:tcW w:w="2840" w:type="dxa"/>
            <w:shd w:val="clear" w:color="auto" w:fill="F3F3F3"/>
            <w:tcMar>
              <w:left w:w="57" w:type="dxa"/>
              <w:right w:w="57" w:type="dxa"/>
            </w:tcMar>
          </w:tcPr>
          <w:p>
            <w:r>
              <w:rPr>
                <w:rFonts w:hint="eastAsia"/>
              </w:rPr>
              <w:t>审核范围（产品和过程）</w:t>
            </w:r>
          </w:p>
          <w:p/>
          <w:p/>
        </w:tc>
        <w:tc>
          <w:tcPr>
            <w:tcW w:w="1710" w:type="dxa"/>
            <w:shd w:val="clear" w:color="auto" w:fill="F3F3F3"/>
            <w:tcMar>
              <w:left w:w="57" w:type="dxa"/>
              <w:right w:w="57" w:type="dxa"/>
            </w:tcMar>
          </w:tcPr>
          <w:p>
            <w:r>
              <w:rPr>
                <w:rFonts w:hint="eastAsia"/>
              </w:rPr>
              <w:t>标准</w:t>
            </w:r>
          </w:p>
        </w:tc>
        <w:tc>
          <w:tcPr>
            <w:tcW w:w="589"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76" w:type="dxa"/>
          </w:tcPr>
          <w:p>
            <w:pPr>
              <w:rPr>
                <w:rFonts w:hint="eastAsia" w:eastAsia="宋体"/>
                <w:lang w:val="en-US" w:eastAsia="zh-CN"/>
              </w:rPr>
            </w:pPr>
            <w:r>
              <w:rPr>
                <w:color w:val="000000" w:themeColor="text1"/>
                <w:sz w:val="21"/>
                <w:szCs w:val="21"/>
              </w:rPr>
              <w:t>重庆亿森动力环境科技有限公司</w:t>
            </w:r>
            <w:r>
              <w:rPr>
                <w:rFonts w:hint="eastAsia"/>
                <w:color w:val="000000" w:themeColor="text1"/>
                <w:sz w:val="21"/>
                <w:szCs w:val="21"/>
                <w:lang w:val="en-US" w:eastAsia="zh-CN"/>
              </w:rPr>
              <w:t>/</w:t>
            </w:r>
            <w:r>
              <w:rPr>
                <w:rFonts w:asciiTheme="minorEastAsia" w:hAnsiTheme="minorEastAsia" w:eastAsiaTheme="minorEastAsia"/>
                <w:color w:val="000000" w:themeColor="text1"/>
                <w:sz w:val="20"/>
              </w:rPr>
              <w:t>重庆市南川区西城街道办事处白果路16号2幢第2层</w:t>
            </w:r>
          </w:p>
        </w:tc>
        <w:tc>
          <w:tcPr>
            <w:tcW w:w="1540" w:type="dxa"/>
          </w:tcPr>
          <w:p>
            <w:pPr>
              <w:rPr>
                <w:highlight w:val="none"/>
                <w:lang w:val="de-DE" w:eastAsia="ja-JP"/>
              </w:rPr>
            </w:pPr>
            <w:r>
              <w:rPr>
                <w:rFonts w:asciiTheme="minorEastAsia" w:hAnsiTheme="minorEastAsia" w:eastAsiaTheme="minorEastAsia"/>
                <w:color w:val="000000" w:themeColor="text1"/>
                <w:sz w:val="20"/>
                <w:highlight w:val="none"/>
              </w:rPr>
              <w:t>重庆市南川区西城街道办事处白果路16号2幢第2层</w:t>
            </w:r>
          </w:p>
        </w:tc>
        <w:tc>
          <w:tcPr>
            <w:tcW w:w="590" w:type="dxa"/>
            <w:vAlign w:val="center"/>
          </w:tcPr>
          <w:p>
            <w:pPr>
              <w:rPr>
                <w:rFonts w:hint="default" w:eastAsia="宋体"/>
                <w:highlight w:val="none"/>
                <w:lang w:val="en-US" w:eastAsia="zh-CN"/>
              </w:rPr>
            </w:pPr>
            <w:r>
              <w:rPr>
                <w:rFonts w:hint="eastAsia"/>
                <w:highlight w:val="none"/>
                <w:lang w:val="en-US" w:eastAsia="zh-CN"/>
              </w:rPr>
              <w:t>12</w:t>
            </w:r>
            <w:bookmarkStart w:id="34" w:name="_GoBack"/>
            <w:bookmarkEnd w:id="34"/>
          </w:p>
        </w:tc>
        <w:tc>
          <w:tcPr>
            <w:tcW w:w="2840" w:type="dxa"/>
            <w:vAlign w:val="center"/>
          </w:tcPr>
          <w:p>
            <w:pPr>
              <w:rPr>
                <w:color w:val="000000" w:themeColor="text1"/>
                <w:sz w:val="20"/>
              </w:rPr>
            </w:pPr>
            <w:r>
              <w:rPr>
                <w:color w:val="000000" w:themeColor="text1"/>
                <w:sz w:val="20"/>
              </w:rPr>
              <w:t>Q</w:t>
            </w:r>
            <w:r>
              <w:rPr>
                <w:rFonts w:hint="eastAsia"/>
                <w:color w:val="000000" w:themeColor="text1"/>
                <w:sz w:val="20"/>
                <w:lang w:eastAsia="zh-CN"/>
              </w:rPr>
              <w:t>:</w:t>
            </w:r>
            <w:r>
              <w:rPr>
                <w:color w:val="000000" w:themeColor="text1"/>
                <w:sz w:val="20"/>
              </w:rPr>
              <w:t>空气质量检测仪的组装</w:t>
            </w:r>
          </w:p>
          <w:p>
            <w:pPr>
              <w:rPr>
                <w:color w:val="000000" w:themeColor="text1"/>
                <w:sz w:val="20"/>
              </w:rPr>
            </w:pPr>
            <w:r>
              <w:rPr>
                <w:color w:val="000000" w:themeColor="text1"/>
                <w:sz w:val="20"/>
              </w:rPr>
              <w:t>E</w:t>
            </w:r>
            <w:r>
              <w:rPr>
                <w:rFonts w:hint="eastAsia"/>
                <w:color w:val="000000" w:themeColor="text1"/>
                <w:sz w:val="20"/>
                <w:lang w:eastAsia="zh-CN"/>
              </w:rPr>
              <w:t>:</w:t>
            </w:r>
            <w:r>
              <w:rPr>
                <w:color w:val="000000" w:themeColor="text1"/>
                <w:sz w:val="20"/>
              </w:rPr>
              <w:t>空气质量检测仪的组装所涉及场所的相关环境管理活动。</w:t>
            </w:r>
          </w:p>
          <w:p>
            <w:pPr>
              <w:rPr>
                <w:lang w:eastAsia="ja-JP"/>
              </w:rPr>
            </w:pPr>
            <w:r>
              <w:rPr>
                <w:color w:val="000000" w:themeColor="text1"/>
                <w:sz w:val="20"/>
              </w:rPr>
              <w:t>O</w:t>
            </w:r>
            <w:r>
              <w:rPr>
                <w:rFonts w:hint="eastAsia"/>
                <w:color w:val="000000" w:themeColor="text1"/>
                <w:sz w:val="20"/>
                <w:lang w:eastAsia="zh-CN"/>
              </w:rPr>
              <w:t>:</w:t>
            </w:r>
            <w:r>
              <w:rPr>
                <w:color w:val="000000" w:themeColor="text1"/>
                <w:sz w:val="20"/>
              </w:rPr>
              <w:t>空气质量检测仪的组装所涉及场所的相关职业健康安全管理活动。</w:t>
            </w:r>
          </w:p>
        </w:tc>
        <w:tc>
          <w:tcPr>
            <w:tcW w:w="1710" w:type="dxa"/>
            <w:vAlign w:val="top"/>
          </w:tcPr>
          <w:p>
            <w:pPr>
              <w:spacing w:before="40" w:after="40"/>
              <w:rPr>
                <w:rFonts w:ascii="宋体" w:hAnsi="宋体"/>
                <w:bCs/>
                <w:szCs w:val="21"/>
              </w:rPr>
            </w:pPr>
            <w:r>
              <w:rPr>
                <w:rFonts w:hint="eastAsia" w:ascii="宋体" w:hAnsi="宋体"/>
                <w:bCs/>
                <w:szCs w:val="21"/>
              </w:rPr>
              <w:t>GB/T19001-2016</w:t>
            </w:r>
          </w:p>
          <w:p>
            <w:pPr>
              <w:spacing w:before="40" w:after="40"/>
              <w:rPr>
                <w:rFonts w:ascii="宋体" w:hAnsi="宋体"/>
                <w:bCs/>
                <w:szCs w:val="21"/>
              </w:rPr>
            </w:pPr>
            <w:r>
              <w:rPr>
                <w:rFonts w:hint="eastAsia" w:ascii="宋体" w:hAnsi="宋体"/>
                <w:bCs/>
                <w:szCs w:val="21"/>
              </w:rPr>
              <w:t>GB/T24001-2016</w:t>
            </w:r>
          </w:p>
          <w:p>
            <w:pPr>
              <w:rPr>
                <w:rFonts w:ascii="Times New Roman" w:hAnsi="Times New Roman" w:eastAsia="黑体" w:cs="Times New Roman"/>
                <w:kern w:val="2"/>
                <w:sz w:val="21"/>
                <w:szCs w:val="21"/>
                <w:lang w:val="en-US" w:eastAsia="ja-JP" w:bidi="ar-SA"/>
              </w:rPr>
            </w:pPr>
            <w:r>
              <w:rPr>
                <w:rFonts w:hint="eastAsia" w:ascii="宋体" w:hAnsi="宋体"/>
                <w:bCs/>
                <w:szCs w:val="21"/>
              </w:rPr>
              <w:t>GB/T45001-2020</w:t>
            </w:r>
          </w:p>
        </w:tc>
        <w:tc>
          <w:tcPr>
            <w:tcW w:w="589"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976" w:type="dxa"/>
            <w:vAlign w:val="center"/>
          </w:tcPr>
          <w:p>
            <w:pPr>
              <w:rPr>
                <w:lang w:eastAsia="ja-JP"/>
              </w:rPr>
            </w:pPr>
          </w:p>
        </w:tc>
        <w:tc>
          <w:tcPr>
            <w:tcW w:w="1540" w:type="dxa"/>
            <w:vAlign w:val="center"/>
          </w:tcPr>
          <w:p>
            <w:pPr>
              <w:rPr>
                <w:lang w:eastAsia="ja-JP"/>
              </w:rPr>
            </w:pPr>
          </w:p>
        </w:tc>
        <w:tc>
          <w:tcPr>
            <w:tcW w:w="590" w:type="dxa"/>
            <w:vAlign w:val="center"/>
          </w:tcPr>
          <w:p>
            <w:pPr>
              <w:rPr>
                <w:lang w:eastAsia="ja-JP"/>
              </w:rPr>
            </w:pPr>
          </w:p>
        </w:tc>
        <w:tc>
          <w:tcPr>
            <w:tcW w:w="2840" w:type="dxa"/>
            <w:vAlign w:val="center"/>
          </w:tcPr>
          <w:p>
            <w:pPr>
              <w:rPr>
                <w:lang w:eastAsia="ja-JP"/>
              </w:rPr>
            </w:pPr>
          </w:p>
        </w:tc>
        <w:tc>
          <w:tcPr>
            <w:tcW w:w="1710" w:type="dxa"/>
            <w:vAlign w:val="center"/>
          </w:tcPr>
          <w:p>
            <w:pPr>
              <w:rPr>
                <w:lang w:eastAsia="ja-JP"/>
              </w:rPr>
            </w:pPr>
          </w:p>
        </w:tc>
        <w:tc>
          <w:tcPr>
            <w:tcW w:w="589"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976" w:type="dxa"/>
            <w:vAlign w:val="center"/>
          </w:tcPr>
          <w:p>
            <w:pPr>
              <w:rPr>
                <w:lang w:eastAsia="ja-JP"/>
              </w:rPr>
            </w:pPr>
          </w:p>
        </w:tc>
        <w:tc>
          <w:tcPr>
            <w:tcW w:w="1540" w:type="dxa"/>
            <w:vAlign w:val="center"/>
          </w:tcPr>
          <w:p>
            <w:pPr>
              <w:rPr>
                <w:lang w:eastAsia="ja-JP"/>
              </w:rPr>
            </w:pPr>
          </w:p>
        </w:tc>
        <w:tc>
          <w:tcPr>
            <w:tcW w:w="590" w:type="dxa"/>
            <w:vAlign w:val="center"/>
          </w:tcPr>
          <w:p>
            <w:pPr>
              <w:rPr>
                <w:lang w:eastAsia="ja-JP"/>
              </w:rPr>
            </w:pPr>
          </w:p>
        </w:tc>
        <w:tc>
          <w:tcPr>
            <w:tcW w:w="2840" w:type="dxa"/>
            <w:vAlign w:val="center"/>
          </w:tcPr>
          <w:p>
            <w:pPr>
              <w:rPr>
                <w:lang w:eastAsia="ja-JP"/>
              </w:rPr>
            </w:pPr>
          </w:p>
        </w:tc>
        <w:tc>
          <w:tcPr>
            <w:tcW w:w="1710" w:type="dxa"/>
            <w:vAlign w:val="center"/>
          </w:tcPr>
          <w:p>
            <w:pPr>
              <w:rPr>
                <w:lang w:eastAsia="ja-JP"/>
              </w:rPr>
            </w:pPr>
          </w:p>
        </w:tc>
        <w:tc>
          <w:tcPr>
            <w:tcW w:w="589"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976" w:type="dxa"/>
            <w:vAlign w:val="center"/>
          </w:tcPr>
          <w:p>
            <w:pPr>
              <w:rPr>
                <w:lang w:eastAsia="ja-JP"/>
              </w:rPr>
            </w:pPr>
          </w:p>
        </w:tc>
        <w:tc>
          <w:tcPr>
            <w:tcW w:w="1540" w:type="dxa"/>
            <w:vAlign w:val="center"/>
          </w:tcPr>
          <w:p>
            <w:pPr>
              <w:rPr>
                <w:lang w:eastAsia="ja-JP"/>
              </w:rPr>
            </w:pPr>
          </w:p>
        </w:tc>
        <w:tc>
          <w:tcPr>
            <w:tcW w:w="590" w:type="dxa"/>
            <w:vAlign w:val="center"/>
          </w:tcPr>
          <w:p>
            <w:pPr>
              <w:rPr>
                <w:lang w:eastAsia="ja-JP"/>
              </w:rPr>
            </w:pPr>
          </w:p>
        </w:tc>
        <w:tc>
          <w:tcPr>
            <w:tcW w:w="2840" w:type="dxa"/>
            <w:vAlign w:val="center"/>
          </w:tcPr>
          <w:p>
            <w:pPr>
              <w:rPr>
                <w:lang w:eastAsia="ja-JP"/>
              </w:rPr>
            </w:pPr>
          </w:p>
        </w:tc>
        <w:tc>
          <w:tcPr>
            <w:tcW w:w="1710" w:type="dxa"/>
            <w:vAlign w:val="center"/>
          </w:tcPr>
          <w:p>
            <w:pPr>
              <w:rPr>
                <w:lang w:eastAsia="ja-JP"/>
              </w:rPr>
            </w:pPr>
          </w:p>
        </w:tc>
        <w:tc>
          <w:tcPr>
            <w:tcW w:w="589"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976" w:type="dxa"/>
            <w:vAlign w:val="center"/>
          </w:tcPr>
          <w:p>
            <w:pPr>
              <w:rPr>
                <w:lang w:eastAsia="ja-JP"/>
              </w:rPr>
            </w:pPr>
          </w:p>
        </w:tc>
        <w:tc>
          <w:tcPr>
            <w:tcW w:w="1540" w:type="dxa"/>
            <w:vAlign w:val="center"/>
          </w:tcPr>
          <w:p>
            <w:pPr>
              <w:rPr>
                <w:lang w:eastAsia="ja-JP"/>
              </w:rPr>
            </w:pPr>
          </w:p>
        </w:tc>
        <w:tc>
          <w:tcPr>
            <w:tcW w:w="590" w:type="dxa"/>
            <w:vAlign w:val="center"/>
          </w:tcPr>
          <w:p>
            <w:pPr>
              <w:rPr>
                <w:lang w:eastAsia="ja-JP"/>
              </w:rPr>
            </w:pPr>
          </w:p>
        </w:tc>
        <w:tc>
          <w:tcPr>
            <w:tcW w:w="2840" w:type="dxa"/>
            <w:vAlign w:val="center"/>
          </w:tcPr>
          <w:p>
            <w:pPr>
              <w:rPr>
                <w:lang w:eastAsia="ja-JP"/>
              </w:rPr>
            </w:pPr>
          </w:p>
        </w:tc>
        <w:tc>
          <w:tcPr>
            <w:tcW w:w="1710" w:type="dxa"/>
            <w:vAlign w:val="center"/>
          </w:tcPr>
          <w:p>
            <w:pPr>
              <w:rPr>
                <w:lang w:eastAsia="ja-JP"/>
              </w:rPr>
            </w:pPr>
          </w:p>
        </w:tc>
        <w:tc>
          <w:tcPr>
            <w:tcW w:w="589"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Q:19.05.01</w:t>
            </w:r>
          </w:p>
          <w:p>
            <w:r>
              <w:t>E:19.05.01</w:t>
            </w:r>
          </w:p>
          <w:p>
            <w: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变更内容</w:t>
            </w:r>
          </w:p>
        </w:tc>
        <w:tc>
          <w:tcPr>
            <w:tcW w:w="7412" w:type="dxa"/>
          </w:tcPr>
          <w:p>
            <w:pPr>
              <w:rPr>
                <w:highlight w:val="none"/>
              </w:rPr>
            </w:pPr>
            <w:r>
              <w:rPr>
                <w:rFonts w:hint="eastAsia"/>
                <w:highlight w:val="none"/>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主要负责人变更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注册地址变更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经营地址变更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多场所地址变更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highlight w:val="none"/>
                <w:lang w:val="en-US" w:eastAsia="zh-CN"/>
              </w:rPr>
            </w:pPr>
            <w:r>
              <w:rPr>
                <w:rFonts w:hint="eastAsia"/>
                <w:highlight w:val="none"/>
              </w:rPr>
              <w:t>上次不符合</w:t>
            </w:r>
            <w:r>
              <w:rPr>
                <w:rFonts w:hint="eastAsia"/>
                <w:highlight w:val="none"/>
                <w:lang w:val="en-US" w:eastAsia="zh-CN"/>
              </w:rPr>
              <w:t>为：生产</w:t>
            </w:r>
            <w:r>
              <w:rPr>
                <w:rFonts w:hint="eastAsia" w:ascii="Times New Roman" w:hAnsi="Times New Roman" w:eastAsia="宋体" w:cs="Times New Roman"/>
                <w:highlight w:val="none"/>
                <w:lang w:val="en-US" w:eastAsia="zh-CN"/>
              </w:rPr>
              <w:t>部</w:t>
            </w:r>
            <w:r>
              <w:rPr>
                <w:rFonts w:hint="eastAsia" w:ascii="Times New Roman" w:hAnsi="Times New Roman" w:eastAsia="宋体" w:cs="Times New Roman"/>
                <w:highlight w:val="none"/>
              </w:rPr>
              <w:t>7.1.5.2a条款</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经本次现场验证无类似情况发生，整改有效。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rPr>
          <w:highlight w:val="none"/>
        </w:rPr>
      </w:pPr>
      <w:r>
        <w:rPr>
          <w:rFonts w:hint="eastAsia"/>
          <w:highlight w:val="none"/>
        </w:rPr>
        <w:t>注1：若一个不符合涉及2个以上管理体系时可在每个体系分别表述</w:t>
      </w:r>
    </w:p>
    <w:p>
      <w:pPr>
        <w:ind w:firstLine="210" w:firstLineChars="100"/>
        <w:rPr>
          <w:highlight w:val="none"/>
        </w:rPr>
      </w:pPr>
      <w:r>
        <w:rPr>
          <w:rFonts w:hint="eastAsia"/>
          <w:highlight w:val="none"/>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空气质量检测仪的组装</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0"/>
              </w:rPr>
            </w:pPr>
            <w:r>
              <w:rPr>
                <w:sz w:val="20"/>
              </w:rPr>
              <w:t>空气质量检测仪的组装所涉及场所的相关环境管理活动。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空气质量检测仪的组装所涉及场所的相关职业健康安全管理活动。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b/>
                <w:sz w:val="20"/>
                <w:lang w:eastAsia="zh-CN"/>
              </w:rPr>
              <w:drawing>
                <wp:anchor distT="0" distB="0" distL="114300" distR="114300" simplePos="0" relativeHeight="251661312" behindDoc="0" locked="0" layoutInCell="1" allowOverlap="1">
                  <wp:simplePos x="0" y="0"/>
                  <wp:positionH relativeFrom="column">
                    <wp:posOffset>610235</wp:posOffset>
                  </wp:positionH>
                  <wp:positionV relativeFrom="paragraph">
                    <wp:posOffset>4445</wp:posOffset>
                  </wp:positionV>
                  <wp:extent cx="360680" cy="393065"/>
                  <wp:effectExtent l="0" t="0" r="7620" b="635"/>
                  <wp:wrapNone/>
                  <wp:docPr id="1"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png"/>
                          <pic:cNvPicPr>
                            <a:picLocks noChangeAspect="1"/>
                          </pic:cNvPicPr>
                        </pic:nvPicPr>
                        <pic:blipFill>
                          <a:blip r:embed="rId6"/>
                          <a:stretch>
                            <a:fillRect/>
                          </a:stretch>
                        </pic:blipFill>
                        <pic:spPr>
                          <a:xfrm>
                            <a:off x="0" y="0"/>
                            <a:ext cx="360680" cy="39306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t>2022年04月14日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ascii="宋体" w:hAnsi="宋体" w:eastAsia="宋体" w:cs="宋体"/>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ascii="宋体" w:hAnsi="宋体" w:eastAsia="宋体" w:cs="宋体"/>
                <w:lang w:eastAsia="zh-CN"/>
              </w:rPr>
              <w:t>■</w:t>
            </w:r>
            <w:r>
              <w:rPr>
                <w:rFonts w:hint="eastAsia"/>
              </w:rPr>
              <w:t>新产品设计开发</w:t>
            </w:r>
            <w:r>
              <w:rPr>
                <w:rFonts w:hint="eastAsia"/>
                <w:lang w:val="en-US" w:eastAsia="zh-CN"/>
              </w:rPr>
              <w:t xml:space="preserve"> </w:t>
            </w:r>
            <w:r>
              <w:rPr>
                <w:rFonts w:hint="eastAsia" w:ascii="宋体" w:hAnsi="宋体" w:eastAsia="宋体" w:cs="宋体"/>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w:t>
            </w:r>
            <w:r>
              <w:rPr>
                <w:rFonts w:hint="eastAsia"/>
                <w:b/>
                <w:bCs/>
                <w:highlight w:val="none"/>
              </w:rPr>
              <w:t>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highlight w:val="none"/>
                <w:u w:val="single"/>
              </w:rPr>
            </w:pPr>
            <w:r>
              <w:rPr>
                <w:rFonts w:hint="eastAsia"/>
                <w:highlight w:val="none"/>
              </w:rPr>
              <w:t>最高管理者制定了文件化的管理体系方针：</w:t>
            </w:r>
            <w:r>
              <w:rPr>
                <w:rFonts w:hint="eastAsia"/>
                <w:color w:val="000000"/>
                <w:szCs w:val="18"/>
                <w:highlight w:val="none"/>
                <w:u w:val="single"/>
                <w:lang w:eastAsia="zh-CN"/>
              </w:rPr>
              <w:t xml:space="preserve">质量第一，信誉第一，用户至上；节能降耗，防治污染，保护环境；安全第一，保障健康，减少风险；全员参与，遵守法规，持续改进 </w:t>
            </w:r>
            <w:r>
              <w:rPr>
                <w:rFonts w:hint="eastAsia" w:ascii="Times New Roman" w:hAnsi="Times New Roman" w:eastAsia="宋体" w:cs="Times New Roman"/>
                <w:color w:val="000000"/>
                <w:szCs w:val="18"/>
                <w:highlight w:val="none"/>
                <w:u w:val="single"/>
                <w:lang w:eastAsia="zh-CN"/>
              </w:rPr>
              <w:t xml:space="preserve"> </w:t>
            </w:r>
            <w:r>
              <w:rPr>
                <w:rFonts w:hint="eastAsia" w:ascii="宋体" w:hAnsi="宋体" w:cs="宋体"/>
                <w:highlight w:val="none"/>
                <w:u w:val="single"/>
                <w:lang w:eastAsia="zh-CN"/>
              </w:rPr>
              <w:t>。</w:t>
            </w:r>
          </w:p>
          <w:p>
            <w:pPr>
              <w:shd w:val="clear" w:color="auto" w:fill="C7DAF1" w:themeFill="text2" w:themeFillTint="32"/>
              <w:rPr>
                <w:highlight w:val="none"/>
              </w:rPr>
            </w:pPr>
            <w:r>
              <w:rPr>
                <w:rFonts w:hint="eastAsia"/>
                <w:highlight w:val="none"/>
                <w:lang w:val="en-GB"/>
              </w:rPr>
              <w:t>质量方针合理恰当并为相应的质量目标提供了框架。</w:t>
            </w:r>
            <w:r>
              <w:rPr>
                <w:rFonts w:hint="eastAsia"/>
                <w:highlight w:val="none"/>
              </w:rPr>
              <w:t>最高</w:t>
            </w:r>
            <w:r>
              <w:rPr>
                <w:rFonts w:hint="eastAsia"/>
                <w:highlight w:val="none"/>
                <w:lang w:val="en-GB"/>
              </w:rPr>
              <w:t>管理层已经宣布了组织的质量方针并进行了实施，它使所有员工负起持续改进质量管理体系的责任，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 xml:space="preserve">行政人资部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3020"/>
              <w:gridCol w:w="1298"/>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8"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02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298"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2106" w:type="dxa"/>
                  <w:shd w:val="clear" w:color="auto" w:fill="auto"/>
                </w:tcPr>
                <w:p>
                  <w:pPr>
                    <w:shd w:val="clear" w:color="auto" w:fill="C7DAF1" w:themeFill="text2" w:themeFillTint="32"/>
                    <w:rPr>
                      <w:rFonts w:hint="eastAsia"/>
                      <w:highlight w:val="none"/>
                    </w:rPr>
                  </w:pPr>
                  <w:r>
                    <w:rPr>
                      <w:rFonts w:hint="eastAsia"/>
                      <w:highlight w:val="none"/>
                    </w:rPr>
                    <w:t>目标实际完成</w:t>
                  </w:r>
                </w:p>
                <w:p>
                  <w:pPr>
                    <w:pStyle w:val="3"/>
                    <w:rPr>
                      <w:rFonts w:hint="eastAsia" w:eastAsia="宋体"/>
                      <w:highlight w:val="none"/>
                      <w:lang w:eastAsia="zh-CN"/>
                    </w:rPr>
                  </w:pPr>
                  <w:r>
                    <w:rPr>
                      <w:rFonts w:hint="eastAsia" w:ascii="宋体" w:hAnsi="宋体"/>
                      <w:highlight w:val="none"/>
                      <w:lang w:eastAsia="zh-CN"/>
                    </w:rPr>
                    <w:t>（</w:t>
                  </w:r>
                  <w:r>
                    <w:rPr>
                      <w:rFonts w:hint="eastAsia" w:ascii="宋体" w:hAnsi="宋体"/>
                      <w:highlight w:val="none"/>
                      <w:lang w:val="en-US" w:eastAsia="zh-CN"/>
                    </w:rPr>
                    <w:t>2021.10-2022.2</w:t>
                  </w:r>
                  <w:r>
                    <w:rPr>
                      <w:rFonts w:hint="eastAsia" w:ascii="宋体" w:hAnsi="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98"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kern w:val="0"/>
                      <w:szCs w:val="21"/>
                    </w:rPr>
                    <w:t>产品一次检验合格率为</w:t>
                  </w:r>
                  <w:r>
                    <w:rPr>
                      <w:rFonts w:hint="eastAsia" w:ascii="宋体" w:hAnsi="宋体"/>
                      <w:szCs w:val="21"/>
                    </w:rPr>
                    <w:t>≥</w:t>
                  </w:r>
                  <w:r>
                    <w:rPr>
                      <w:rFonts w:hint="eastAsia" w:ascii="宋体" w:hAnsi="宋体" w:cs="宋体"/>
                      <w:kern w:val="0"/>
                      <w:szCs w:val="21"/>
                    </w:rPr>
                    <w:t>95%</w:t>
                  </w:r>
                </w:p>
              </w:tc>
              <w:tc>
                <w:tcPr>
                  <w:tcW w:w="3020" w:type="dxa"/>
                  <w:shd w:val="clear" w:color="auto" w:fill="auto"/>
                  <w:vAlign w:val="center"/>
                </w:tcPr>
                <w:p>
                  <w:pPr>
                    <w:spacing w:line="360" w:lineRule="auto"/>
                    <w:rPr>
                      <w:rFonts w:hint="default" w:ascii="Times New Roman" w:hAnsi="Times New Roman" w:eastAsia="宋体" w:cs="Times New Roman"/>
                      <w:color w:val="000000"/>
                      <w:kern w:val="2"/>
                      <w:sz w:val="21"/>
                      <w:szCs w:val="18"/>
                      <w:highlight w:val="yellow"/>
                      <w:lang w:val="en-GB" w:eastAsia="zh-CN" w:bidi="ar-SA"/>
                    </w:rPr>
                  </w:pPr>
                  <w:r>
                    <w:rPr>
                      <w:rFonts w:hint="eastAsia" w:ascii="宋体" w:hAnsi="宋体" w:cs="宋体"/>
                      <w:kern w:val="0"/>
                      <w:szCs w:val="21"/>
                    </w:rPr>
                    <w:t>合格率=合格批数÷检验总批数×100%；</w:t>
                  </w:r>
                </w:p>
              </w:tc>
              <w:tc>
                <w:tcPr>
                  <w:tcW w:w="1298" w:type="dxa"/>
                  <w:shd w:val="clear" w:color="auto" w:fill="auto"/>
                  <w:vAlign w:val="center"/>
                </w:tcPr>
                <w:p>
                  <w:pPr>
                    <w:shd w:val="clear" w:color="auto" w:fill="C7DAF1" w:themeFill="text2" w:themeFillTint="32"/>
                    <w:rPr>
                      <w:rFonts w:hint="default" w:eastAsia="宋体"/>
                      <w:highlight w:val="yellow"/>
                      <w:lang w:val="en-US" w:eastAsia="zh-CN"/>
                    </w:rPr>
                  </w:pPr>
                  <w:r>
                    <w:rPr>
                      <w:rFonts w:hint="eastAsia" w:ascii="宋体" w:hAnsi="宋体" w:cs="Times New Roman"/>
                      <w:b w:val="0"/>
                      <w:bCs w:val="0"/>
                      <w:color w:val="auto"/>
                      <w:sz w:val="21"/>
                      <w:szCs w:val="21"/>
                      <w:lang w:val="en-US" w:eastAsia="zh-CN"/>
                    </w:rPr>
                    <w:t>生产</w:t>
                  </w:r>
                  <w:r>
                    <w:rPr>
                      <w:rFonts w:hint="eastAsia" w:ascii="宋体" w:hAnsi="宋体" w:eastAsia="宋体" w:cs="Times New Roman"/>
                      <w:b w:val="0"/>
                      <w:bCs w:val="0"/>
                      <w:color w:val="auto"/>
                      <w:sz w:val="21"/>
                      <w:szCs w:val="21"/>
                      <w:lang w:eastAsia="zh-CN"/>
                    </w:rPr>
                    <w:t>部</w:t>
                  </w:r>
                </w:p>
              </w:tc>
              <w:tc>
                <w:tcPr>
                  <w:tcW w:w="2106"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cs="Times New Roman"/>
                      <w:color w:val="auto"/>
                      <w:sz w:val="21"/>
                      <w:szCs w:val="21"/>
                      <w:highlight w:val="none"/>
                      <w:lang w:val="en-US" w:eastAsia="zh-CN"/>
                    </w:rPr>
                    <w:t>100</w:t>
                  </w:r>
                  <w:r>
                    <w:rPr>
                      <w:rFonts w:hint="eastAsia" w:ascii="Times New Roman" w:hAnsi="Times New Roman"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98"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kern w:val="0"/>
                      <w:szCs w:val="21"/>
                    </w:rPr>
                    <w:t>客户满意度为95分以上</w:t>
                  </w:r>
                </w:p>
              </w:tc>
              <w:tc>
                <w:tcPr>
                  <w:tcW w:w="3020"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kern w:val="0"/>
                      <w:szCs w:val="21"/>
                    </w:rPr>
                    <w:t>满意度=客户打分总分数÷调查客户数量；</w:t>
                  </w:r>
                </w:p>
              </w:tc>
              <w:tc>
                <w:tcPr>
                  <w:tcW w:w="1298" w:type="dxa"/>
                  <w:shd w:val="clear" w:color="auto" w:fill="auto"/>
                  <w:vAlign w:val="center"/>
                </w:tcPr>
                <w:p>
                  <w:pPr>
                    <w:shd w:val="clear" w:color="auto" w:fill="C7DAF1" w:themeFill="text2" w:themeFillTint="32"/>
                    <w:rPr>
                      <w:rFonts w:hint="default" w:ascii="宋体" w:hAnsi="宋体" w:eastAsia="宋体"/>
                      <w:highlight w:val="yellow"/>
                      <w:lang w:val="en-US" w:eastAsia="zh-CN"/>
                    </w:rPr>
                  </w:pPr>
                  <w:r>
                    <w:rPr>
                      <w:rFonts w:hint="eastAsia" w:ascii="宋体" w:hAnsi="宋体" w:cs="Times New Roman"/>
                      <w:b w:val="0"/>
                      <w:bCs w:val="0"/>
                      <w:color w:val="auto"/>
                      <w:sz w:val="21"/>
                      <w:szCs w:val="21"/>
                      <w:lang w:val="en-US" w:eastAsia="zh-CN"/>
                    </w:rPr>
                    <w:t>市场</w:t>
                  </w:r>
                  <w:r>
                    <w:rPr>
                      <w:rFonts w:hint="eastAsia" w:ascii="宋体" w:hAnsi="宋体" w:eastAsia="宋体" w:cs="Times New Roman"/>
                      <w:b w:val="0"/>
                      <w:bCs w:val="0"/>
                      <w:color w:val="auto"/>
                      <w:sz w:val="21"/>
                      <w:szCs w:val="21"/>
                      <w:lang w:eastAsia="zh-CN"/>
                    </w:rPr>
                    <w:t>部</w:t>
                  </w:r>
                </w:p>
              </w:tc>
              <w:tc>
                <w:tcPr>
                  <w:tcW w:w="2106"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yellow"/>
                      <w:lang w:val="en-US" w:eastAsia="zh-CN" w:bidi="ar-SA"/>
                    </w:rPr>
                  </w:pPr>
                  <w:r>
                    <w:rPr>
                      <w:rFonts w:hint="eastAsia" w:ascii="Times New Roman" w:hAnsi="Times New Roman" w:cs="Times New Roman"/>
                      <w:color w:val="auto"/>
                      <w:sz w:val="21"/>
                      <w:szCs w:val="21"/>
                      <w:lang w:val="en-US" w:eastAsia="zh-CN"/>
                    </w:rPr>
                    <w:t>9</w:t>
                  </w:r>
                  <w:r>
                    <w:rPr>
                      <w:rFonts w:hint="eastAsia" w:cs="Times New Roman"/>
                      <w:color w:val="auto"/>
                      <w:sz w:val="21"/>
                      <w:szCs w:val="21"/>
                      <w:lang w:val="en-US" w:eastAsia="zh-CN"/>
                    </w:rPr>
                    <w:t>8</w:t>
                  </w:r>
                  <w:r>
                    <w:rPr>
                      <w:rFonts w:hint="eastAsia" w:ascii="Times New Roman" w:hAnsi="Times New Roman" w:cs="Times New Roman"/>
                      <w:color w:val="auto"/>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098"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kern w:val="0"/>
                      <w:szCs w:val="21"/>
                    </w:rPr>
                    <w:t>产品按期交付率</w:t>
                  </w:r>
                  <w:r>
                    <w:rPr>
                      <w:rFonts w:hint="eastAsia" w:ascii="宋体" w:hAnsi="宋体"/>
                      <w:szCs w:val="21"/>
                    </w:rPr>
                    <w:t>≥</w:t>
                  </w:r>
                  <w:r>
                    <w:rPr>
                      <w:rFonts w:hint="eastAsia" w:ascii="宋体" w:hAnsi="宋体" w:cs="宋体"/>
                      <w:kern w:val="0"/>
                      <w:szCs w:val="21"/>
                    </w:rPr>
                    <w:t>98%</w:t>
                  </w:r>
                </w:p>
              </w:tc>
              <w:tc>
                <w:tcPr>
                  <w:tcW w:w="3020"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kern w:val="0"/>
                      <w:szCs w:val="21"/>
                    </w:rPr>
                    <w:t>产品按期交付率=按期交付批数÷需交付总批数×100%</w:t>
                  </w:r>
                </w:p>
              </w:tc>
              <w:tc>
                <w:tcPr>
                  <w:tcW w:w="1298"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yellow"/>
                      <w:lang w:val="en-US" w:eastAsia="zh-CN" w:bidi="ar-SA"/>
                    </w:rPr>
                  </w:pPr>
                  <w:r>
                    <w:rPr>
                      <w:rFonts w:hint="eastAsia" w:ascii="宋体" w:hAnsi="宋体" w:cs="Times New Roman"/>
                      <w:b w:val="0"/>
                      <w:bCs w:val="0"/>
                      <w:color w:val="auto"/>
                      <w:sz w:val="21"/>
                      <w:szCs w:val="21"/>
                      <w:lang w:val="en-US" w:eastAsia="zh-CN"/>
                    </w:rPr>
                    <w:t>市场</w:t>
                  </w:r>
                  <w:r>
                    <w:rPr>
                      <w:rFonts w:hint="eastAsia" w:ascii="宋体" w:hAnsi="宋体" w:eastAsia="宋体" w:cs="Times New Roman"/>
                      <w:b w:val="0"/>
                      <w:bCs w:val="0"/>
                      <w:color w:val="auto"/>
                      <w:sz w:val="21"/>
                      <w:szCs w:val="21"/>
                      <w:lang w:eastAsia="zh-CN"/>
                    </w:rPr>
                    <w:t>部</w:t>
                  </w:r>
                </w:p>
              </w:tc>
              <w:tc>
                <w:tcPr>
                  <w:tcW w:w="2106"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yellow"/>
                      <w:lang w:val="en-US" w:eastAsia="zh-CN" w:bidi="ar-SA"/>
                    </w:rPr>
                  </w:pPr>
                  <w:r>
                    <w:rPr>
                      <w:rFonts w:hint="eastAsia" w:ascii="Times New Roman" w:hAnsi="Times New Roman" w:cs="Times New Roman"/>
                      <w:color w:val="auto"/>
                      <w:sz w:val="21"/>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shd w:val="clear" w:color="auto" w:fill="auto"/>
                </w:tcPr>
                <w:p>
                  <w:pPr>
                    <w:shd w:val="clear" w:color="auto" w:fill="C7DAF1" w:themeFill="text2" w:themeFillTint="32"/>
                  </w:pPr>
                </w:p>
              </w:tc>
              <w:tc>
                <w:tcPr>
                  <w:tcW w:w="3020" w:type="dxa"/>
                  <w:shd w:val="clear" w:color="auto" w:fill="auto"/>
                  <w:vAlign w:val="center"/>
                </w:tcPr>
                <w:p>
                  <w:pPr>
                    <w:shd w:val="clear" w:color="auto" w:fill="C7DAF1" w:themeFill="text2" w:themeFillTint="32"/>
                    <w:rPr>
                      <w:rFonts w:ascii="宋体" w:hAnsi="宋体"/>
                    </w:rPr>
                  </w:pPr>
                </w:p>
              </w:tc>
              <w:tc>
                <w:tcPr>
                  <w:tcW w:w="1298" w:type="dxa"/>
                  <w:shd w:val="clear" w:color="auto" w:fill="auto"/>
                  <w:vAlign w:val="center"/>
                </w:tcPr>
                <w:p>
                  <w:pPr>
                    <w:shd w:val="clear" w:color="auto" w:fill="C7DAF1" w:themeFill="text2" w:themeFillTint="32"/>
                    <w:rPr>
                      <w:rFonts w:ascii="宋体" w:hAnsi="宋体"/>
                    </w:rPr>
                  </w:pPr>
                </w:p>
              </w:tc>
              <w:tc>
                <w:tcPr>
                  <w:tcW w:w="2106"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shd w:val="clear" w:color="auto" w:fill="auto"/>
                </w:tcPr>
                <w:p>
                  <w:pPr>
                    <w:shd w:val="clear" w:color="auto" w:fill="C7DAF1" w:themeFill="text2" w:themeFillTint="32"/>
                  </w:pPr>
                </w:p>
              </w:tc>
              <w:tc>
                <w:tcPr>
                  <w:tcW w:w="3020" w:type="dxa"/>
                  <w:shd w:val="clear" w:color="auto" w:fill="auto"/>
                  <w:vAlign w:val="center"/>
                </w:tcPr>
                <w:p>
                  <w:pPr>
                    <w:shd w:val="clear" w:color="auto" w:fill="C7DAF1" w:themeFill="text2" w:themeFillTint="32"/>
                    <w:rPr>
                      <w:rFonts w:ascii="宋体" w:hAnsi="宋体"/>
                    </w:rPr>
                  </w:pPr>
                </w:p>
              </w:tc>
              <w:tc>
                <w:tcPr>
                  <w:tcW w:w="1298" w:type="dxa"/>
                  <w:shd w:val="clear" w:color="auto" w:fill="auto"/>
                  <w:vAlign w:val="center"/>
                </w:tcPr>
                <w:p>
                  <w:pPr>
                    <w:shd w:val="clear" w:color="auto" w:fill="C7DAF1" w:themeFill="text2" w:themeFillTint="32"/>
                    <w:rPr>
                      <w:rFonts w:ascii="宋体" w:hAnsi="宋体"/>
                    </w:rPr>
                  </w:pPr>
                </w:p>
              </w:tc>
              <w:tc>
                <w:tcPr>
                  <w:tcW w:w="2106"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none"/>
              </w:rPr>
            </w:pPr>
            <w:r>
              <w:rPr>
                <w:rFonts w:hint="eastAsia"/>
                <w:highlight w:val="none"/>
              </w:rPr>
              <w:t>建筑面积</w:t>
            </w:r>
            <w:r>
              <w:rPr>
                <w:rFonts w:hint="eastAsia"/>
                <w:highlight w:val="none"/>
                <w:lang w:val="en-US" w:eastAsia="zh-CN"/>
              </w:rPr>
              <w:t>5100</w:t>
            </w:r>
            <w:r>
              <w:rPr>
                <w:rFonts w:hint="eastAsia"/>
                <w:highlight w:val="none"/>
                <w:lang w:eastAsia="zh-CN"/>
              </w:rPr>
              <w:t>平方米</w:t>
            </w:r>
            <w:r>
              <w:rPr>
                <w:rFonts w:hint="eastAsia"/>
                <w:highlight w:val="none"/>
              </w:rPr>
              <w:t xml:space="preserve">；生产车间 </w:t>
            </w:r>
            <w:r>
              <w:rPr>
                <w:rFonts w:hint="eastAsia"/>
                <w:highlight w:val="none"/>
                <w:lang w:val="en-US" w:eastAsia="zh-CN"/>
              </w:rPr>
              <w:t>1</w:t>
            </w:r>
            <w:r>
              <w:rPr>
                <w:rFonts w:hint="eastAsia"/>
                <w:highlight w:val="none"/>
              </w:rPr>
              <w:t xml:space="preserve"> 个；库房  </w:t>
            </w:r>
            <w:r>
              <w:rPr>
                <w:rFonts w:hint="eastAsia"/>
                <w:highlight w:val="none"/>
                <w:lang w:val="en-US" w:eastAsia="zh-CN"/>
              </w:rPr>
              <w:t xml:space="preserve">1 </w:t>
            </w:r>
            <w:r>
              <w:rPr>
                <w:rFonts w:hint="eastAsia"/>
                <w:highlight w:val="none"/>
              </w:rPr>
              <w:t xml:space="preserve">  个；实验室   个；</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u w:val="single"/>
                <w:lang w:eastAsia="zh-CN"/>
              </w:rPr>
              <w:t>办公设备（电脑、打印机、复印机等）；生产设备（流水线工作台、砂轮机、电烙铁、网口钳、开孔器、交换机、五金工具（螺丝刀等））</w:t>
            </w:r>
            <w:r>
              <w:rPr>
                <w:rFonts w:hint="eastAsia"/>
                <w:highlight w:val="non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宋体" w:hAnsi="宋体" w:eastAsia="宋体" w:cs="宋体"/>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r>
              <w:rPr>
                <w:rFonts w:hint="eastAsia" w:ascii="宋体" w:hAnsi="Times New Roman" w:eastAsia="宋体" w:cs="Times New Roman"/>
                <w:color w:val="000000"/>
                <w:sz w:val="21"/>
                <w:szCs w:val="21"/>
                <w:highlight w:val="none"/>
                <w:u w:val="single"/>
                <w:lang w:val="en-US" w:eastAsia="zh-CN"/>
              </w:rPr>
              <w:t xml:space="preserve">万用表、千分尺、游标卡尺、钢卷尺、二氧化硫气体检测仪、一氧化碳红外线气体分析器、多种气体校准仪 </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宋体" w:hAnsi="宋体" w:eastAsia="宋体" w:cs="宋体"/>
                <w:highlight w:val="none"/>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w:t>
            </w:r>
            <w:r>
              <w:rPr>
                <w:rFonts w:hint="eastAsia"/>
                <w:highlight w:val="none"/>
              </w:rPr>
              <w:t>/项目名称：</w:t>
            </w:r>
            <w:r>
              <w:rPr>
                <w:rFonts w:hint="eastAsia"/>
                <w:highlight w:val="none"/>
                <w:u w:val="single"/>
                <w:lang w:val="en-US" w:eastAsia="zh-CN"/>
              </w:rPr>
              <w:t xml:space="preserve">     </w:t>
            </w:r>
            <w:r>
              <w:rPr>
                <w:rFonts w:hint="eastAsia"/>
                <w:highlight w:val="none"/>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highlight w:val="yellow"/>
                    </w:rPr>
                  </w:pPr>
                  <w:r>
                    <w:rPr>
                      <w:color w:val="000000" w:themeColor="text1"/>
                      <w:sz w:val="20"/>
                    </w:rPr>
                    <w:t>空气质量检测仪的组装</w:t>
                  </w:r>
                </w:p>
              </w:tc>
              <w:tc>
                <w:tcPr>
                  <w:tcW w:w="2303" w:type="dxa"/>
                </w:tcPr>
                <w:p>
                  <w:pPr>
                    <w:shd w:val="clear" w:color="auto" w:fill="C7DAF1" w:themeFill="text2" w:themeFillTint="32"/>
                    <w:jc w:val="left"/>
                    <w:rPr>
                      <w:rFonts w:hint="default" w:eastAsia="宋体"/>
                      <w:highlight w:val="yellow"/>
                      <w:lang w:val="en-US" w:eastAsia="zh-CN"/>
                    </w:rPr>
                  </w:pPr>
                  <w:r>
                    <w:rPr>
                      <w:rFonts w:hint="eastAsia"/>
                      <w:highlight w:val="none"/>
                      <w:lang w:val="en-US" w:eastAsia="zh-CN"/>
                    </w:rPr>
                    <w:t>装配、调试/测试成型</w:t>
                  </w:r>
                </w:p>
              </w:tc>
              <w:tc>
                <w:tcPr>
                  <w:tcW w:w="3265" w:type="dxa"/>
                </w:tcPr>
                <w:p>
                  <w:pPr>
                    <w:shd w:val="clear" w:color="auto" w:fill="C7DAF1" w:themeFill="text2" w:themeFillTint="32"/>
                    <w:jc w:val="left"/>
                    <w:rPr>
                      <w:rFonts w:hint="default" w:eastAsiaTheme="minorEastAsia"/>
                      <w:highlight w:val="yellow"/>
                      <w:lang w:val="en-US" w:eastAsia="zh-CN"/>
                    </w:rPr>
                  </w:pPr>
                  <w:r>
                    <w:rPr>
                      <w:rFonts w:hint="eastAsia"/>
                      <w:b w:val="0"/>
                      <w:bCs/>
                      <w:sz w:val="20"/>
                      <w:lang w:val="en-US" w:eastAsia="zh-CN"/>
                    </w:rPr>
                    <w:t>外观、尺寸、产品性能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焊接、老化</w:t>
            </w:r>
            <w:r>
              <w:rPr>
                <w:rFonts w:hint="eastAsia"/>
              </w:rPr>
              <w:t xml:space="preserve"> ，</w:t>
            </w:r>
          </w:p>
          <w:p>
            <w:pPr>
              <w:shd w:val="clear" w:color="auto" w:fill="C7DAF1" w:themeFill="text2" w:themeFillTint="32"/>
              <w:jc w:val="left"/>
              <w:rPr>
                <w:highlight w:val="none"/>
              </w:rPr>
            </w:pPr>
            <w:r>
              <w:rPr>
                <w:rFonts w:hint="eastAsia" w:ascii="宋体" w:hAnsi="宋体" w:eastAsia="宋体" w:cs="宋体"/>
                <w:lang w:eastAsia="zh-CN"/>
              </w:rPr>
              <w:t>■</w:t>
            </w:r>
            <w:r>
              <w:rPr>
                <w:rFonts w:hint="eastAsia"/>
              </w:rPr>
              <w:t>进行了有</w:t>
            </w:r>
            <w:r>
              <w:rPr>
                <w:rFonts w:hint="eastAsia"/>
                <w:highlight w:val="none"/>
              </w:rPr>
              <w:t xml:space="preserve">效的确认  </w:t>
            </w:r>
            <w:r>
              <w:rPr>
                <w:rFonts w:hint="eastAsia" w:ascii="Wingdings" w:hAnsi="Wingdings"/>
                <w:lang w:eastAsia="zh-CN"/>
              </w:rPr>
              <w:t>□</w:t>
            </w:r>
            <w:r>
              <w:rPr>
                <w:rFonts w:hint="eastAsia"/>
                <w:highlight w:val="none"/>
              </w:rPr>
              <w:t>存在不足，说明</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宋体" w:hAnsi="宋体" w:eastAsia="宋体" w:cs="宋体"/>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2022年3月10日-11日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2022年3月21日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ascii="宋体" w:hAnsi="宋体" w:eastAsia="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质量第一，信誉第一，用户至上；节能降耗，防治污染，保护环境；安全第一，保障健康，减少风险；全员参与，遵守法规，持续改进</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行政人资部 </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w:t>
                  </w:r>
                  <w:r>
                    <w:rPr>
                      <w:rFonts w:hint="eastAsia" w:ascii="宋体" w:hAnsi="宋体"/>
                      <w:highlight w:val="none"/>
                    </w:rPr>
                    <w:t>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b w:val="0"/>
                      <w:bCs w:val="0"/>
                      <w:color w:val="auto"/>
                      <w:kern w:val="0"/>
                      <w:sz w:val="21"/>
                      <w:szCs w:val="21"/>
                      <w:lang w:eastAsia="zh-CN"/>
                    </w:rPr>
                    <w:t>固废分类合规处置率100%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 xml:space="preserve">行政人资部 </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b w:val="0"/>
                      <w:bCs w:val="0"/>
                      <w:color w:val="auto"/>
                      <w:kern w:val="0"/>
                      <w:sz w:val="21"/>
                      <w:szCs w:val="21"/>
                      <w:lang w:eastAsia="zh-CN"/>
                    </w:rPr>
                    <w:t>火灾发生次数为0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 xml:space="preserve">行政人资部 </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建筑面</w:t>
            </w:r>
            <w:r>
              <w:rPr>
                <w:rFonts w:hint="eastAsia" w:ascii="Times New Roman" w:hAnsi="Times New Roman" w:eastAsia="宋体" w:cs="Times New Roman"/>
                <w:highlight w:val="none"/>
              </w:rPr>
              <w:t>积</w:t>
            </w:r>
            <w:r>
              <w:rPr>
                <w:rFonts w:hint="eastAsia" w:cs="Times New Roman"/>
                <w:highlight w:val="none"/>
                <w:lang w:val="en-US" w:eastAsia="zh-CN"/>
              </w:rPr>
              <w:t>5100</w:t>
            </w:r>
            <w:r>
              <w:rPr>
                <w:rFonts w:hint="eastAsia" w:cs="Times New Roman"/>
                <w:highlight w:val="none"/>
                <w:lang w:eastAsia="zh-CN"/>
              </w:rPr>
              <w:t>平方米</w:t>
            </w:r>
            <w:r>
              <w:rPr>
                <w:rFonts w:hint="eastAsia" w:ascii="Times New Roman" w:hAnsi="Times New Roman" w:eastAsia="宋体" w:cs="Times New Roman"/>
                <w:highlight w:val="none"/>
              </w:rPr>
              <w:t xml:space="preserve">；生产车间 </w:t>
            </w:r>
            <w:r>
              <w:rPr>
                <w:rFonts w:hint="eastAsia" w:cs="Times New Roman"/>
                <w:highlight w:val="none"/>
                <w:lang w:val="en-US" w:eastAsia="zh-CN"/>
              </w:rPr>
              <w:t>1</w:t>
            </w:r>
            <w:r>
              <w:rPr>
                <w:rFonts w:hint="eastAsia" w:ascii="Times New Roman" w:hAnsi="Times New Roman" w:eastAsia="宋体" w:cs="Times New Roman"/>
                <w:highlight w:val="none"/>
              </w:rPr>
              <w:t xml:space="preserve"> 个；库房 </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w:t>
            </w:r>
            <w:r>
              <w:rPr>
                <w:rFonts w:hint="eastAsia" w:ascii="Times New Roman" w:hAnsi="Times New Roman" w:eastAsia="宋体" w:cs="Times New Roman"/>
                <w:highlight w:val="none"/>
              </w:rPr>
              <w:t xml:space="preserve">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办公设备（电脑、打印机、复印机等）；生产设备（流水线工作台、砂轮机、电烙铁、网口钳、开孔器、交换机、五金工具（螺丝刀等））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压力容器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压力管道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highlight w:val="none"/>
              </w:rPr>
              <w:t>辅助场所：</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高压配电室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低压配电室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空压站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锅炉房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食堂  </w:t>
            </w:r>
            <w:r>
              <w:rPr>
                <w:rFonts w:hint="eastAsia" w:ascii="Times New Roman" w:hAnsi="Times New Roman" w:eastAsia="宋体" w:cs="Times New Roman"/>
                <w:highlight w:val="none"/>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w:t>
            </w:r>
            <w:r>
              <w:rPr>
                <w:rFonts w:hint="eastAsia"/>
                <w:highlight w:val="none"/>
              </w:rPr>
              <w:t>/项目名称：</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 xml:space="preserve">       </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r>
              <w:rPr>
                <w:rFonts w:hint="eastAsia"/>
                <w:highlight w:val="none"/>
              </w:rPr>
              <w:t>对该设计和开发的项目对环境因素进</w:t>
            </w:r>
            <w:r>
              <w:rPr>
                <w:rFonts w:hint="eastAsia"/>
              </w:rPr>
              <w:t>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shd w:val="clear" w:color="auto" w:fill="EBF1DE" w:themeFill="accent3" w:themeFillTint="32"/>
                    <w:rPr>
                      <w:rFonts w:hint="eastAsia" w:ascii="Times New Roman" w:hAnsi="Times New Roman" w:eastAsia="宋体" w:cs="Times New Roman"/>
                      <w:color w:val="000000"/>
                      <w:kern w:val="2"/>
                      <w:sz w:val="21"/>
                      <w:szCs w:val="18"/>
                      <w:highlight w:val="yellow"/>
                      <w:lang w:val="en-US" w:eastAsia="zh-CN" w:bidi="ar-SA"/>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shd w:val="clear" w:color="auto" w:fill="EBF1DE" w:themeFill="accent3" w:themeFillTint="32"/>
                    <w:rPr>
                      <w:rFonts w:hint="eastAsia" w:ascii="Times New Roman" w:hAnsi="Times New Roman" w:eastAsia="宋体" w:cs="Times New Roman"/>
                      <w:color w:val="000000"/>
                      <w:kern w:val="2"/>
                      <w:sz w:val="21"/>
                      <w:szCs w:val="18"/>
                      <w:highlight w:val="yellow"/>
                      <w:lang w:val="en-US" w:eastAsia="zh-CN" w:bidi="ar-SA"/>
                    </w:rPr>
                  </w:pPr>
                  <w:r>
                    <w:rPr>
                      <w:rFonts w:hint="eastAsia"/>
                      <w:highlight w:val="none"/>
                      <w:lang w:val="en-US" w:eastAsia="zh-CN"/>
                    </w:rPr>
                    <w:t>固废排放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u w:val="single"/>
                <w:lang w:eastAsia="zh-CN"/>
              </w:rPr>
              <w:t>2021年12月</w:t>
            </w:r>
            <w:r>
              <w:rPr>
                <w:rFonts w:hint="eastAsia"/>
                <w:highlight w:val="none"/>
                <w:u w:val="single"/>
                <w:lang w:val="en-US" w:eastAsia="zh-CN"/>
              </w:rPr>
              <w:t>2</w:t>
            </w:r>
            <w:r>
              <w:rPr>
                <w:rFonts w:hint="eastAsia"/>
                <w:highlight w:val="none"/>
                <w:u w:val="single"/>
                <w:lang w:eastAsia="zh-CN"/>
              </w:rPr>
              <w:t>0日进行了火灾演练</w:t>
            </w:r>
            <w:r>
              <w:rPr>
                <w:rFonts w:hint="eastAsia"/>
                <w:highlight w:val="none"/>
              </w:rPr>
              <w:t>并</w:t>
            </w:r>
            <w:r>
              <w:rPr>
                <w:rFonts w:hint="eastAsia"/>
              </w:rPr>
              <w:t xml:space="preserve">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yellow"/>
                <w:lang w:eastAsia="zh-CN"/>
              </w:rPr>
            </w:pPr>
            <w:r>
              <w:rPr>
                <w:rFonts w:hint="eastAsia"/>
                <w:highlight w:val="none"/>
                <w:lang w:eastAsia="zh-CN"/>
              </w:rPr>
              <w:t>■</w:t>
            </w:r>
            <w:r>
              <w:rPr>
                <w:rFonts w:hint="eastAsia"/>
                <w:highlight w:val="none"/>
              </w:rPr>
              <w:t xml:space="preserve">定期（每年） </w:t>
            </w:r>
            <w:r>
              <w:rPr>
                <w:rFonts w:hint="eastAsia"/>
              </w:rPr>
              <w:t>：</w:t>
            </w:r>
            <w:r>
              <w:rPr>
                <w:rFonts w:hint="eastAsia"/>
                <w:highlight w:val="none"/>
                <w:lang w:eastAsia="zh-CN"/>
              </w:rPr>
              <w:t>2022年2月20日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2022年3月10日-11日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s="Times New Roman"/>
                <w:color w:val="000000"/>
                <w:szCs w:val="18"/>
                <w:highlight w:val="none"/>
                <w:u w:val="single"/>
                <w:lang w:eastAsia="zh-CN"/>
              </w:rPr>
              <w:t>2022年3月21日</w:t>
            </w:r>
            <w:r>
              <w:rPr>
                <w:rFonts w:hint="eastAsia"/>
                <w:highlight w:val="none"/>
              </w:rPr>
              <w:t>对组织的环境管理体系进行了评审，以确保其持续的适宜性、充分性和有效性；管理评审输入、输出均</w:t>
            </w:r>
            <w:r>
              <w:rPr>
                <w:rFonts w:hint="eastAsia"/>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ascii="宋体" w:hAnsi="宋体" w:eastAsia="宋体" w:cs="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 xml:space="preserve">质量第一，信誉第一，用户至上；节能降耗，防治污染，保护环境；安全第一，保障健康，减少风险；全员参与，遵守法规，持续改进 </w:t>
            </w:r>
            <w:r>
              <w:rPr>
                <w:rFonts w:hint="eastAsia" w:ascii="Times New Roman" w:hAnsi="Times New Roman" w:eastAsia="宋体" w:cs="Times New Roman"/>
                <w:color w:val="000000"/>
                <w:szCs w:val="18"/>
                <w:u w:val="single"/>
                <w:lang w:eastAsia="zh-CN"/>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 xml:space="preserve">行政人资部 </w:t>
            </w:r>
          </w:p>
          <w:p>
            <w:pPr>
              <w:rPr>
                <w:rFonts w:hint="default" w:eastAsia="宋体"/>
                <w:lang w:val="en-US" w:eastAsia="zh-CN"/>
              </w:rPr>
            </w:pPr>
            <w:r>
              <w:rPr>
                <w:rFonts w:hint="eastAsia"/>
              </w:rPr>
              <w:t>安全的主管部门是——</w:t>
            </w:r>
            <w:r>
              <w:rPr>
                <w:rFonts w:hint="eastAsia"/>
                <w:lang w:val="en-US" w:eastAsia="zh-CN"/>
              </w:rPr>
              <w:t xml:space="preserve">行政人资部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黄利娟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 w:val="21"/>
                      <w:szCs w:val="21"/>
                    </w:rPr>
                    <w:t>火灾</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default" w:ascii="Times New Roman" w:hAnsi="Times New Roman" w:eastAsia="宋体" w:cs="Times New Roman"/>
                      <w:color w:val="000000"/>
                      <w:kern w:val="2"/>
                      <w:sz w:val="21"/>
                      <w:szCs w:val="18"/>
                      <w:highlight w:val="none"/>
                      <w:lang w:val="en-US" w:eastAsia="zh-CN" w:bidi="ar-SA"/>
                    </w:rPr>
                  </w:pPr>
                  <w:r>
                    <w:rPr>
                      <w:rFonts w:hint="eastAsia" w:ascii="宋体" w:hAnsi="宋体"/>
                      <w:sz w:val="21"/>
                      <w:szCs w:val="21"/>
                    </w:rPr>
                    <w:t>机械伤害</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default" w:eastAsia="宋体"/>
                      <w:highlight w:val="none"/>
                      <w:lang w:val="en-US" w:eastAsia="zh-CN"/>
                    </w:rPr>
                  </w:pPr>
                  <w:r>
                    <w:rPr>
                      <w:rFonts w:hint="eastAsia" w:ascii="宋体" w:hAnsi="宋体" w:cs="楷体"/>
                      <w:bCs/>
                      <w:sz w:val="21"/>
                      <w:szCs w:val="21"/>
                    </w:rPr>
                    <w:t>意外伤害事故</w:t>
                  </w:r>
                </w:p>
              </w:tc>
              <w:tc>
                <w:tcPr>
                  <w:tcW w:w="3965" w:type="dxa"/>
                  <w:vAlign w:val="top"/>
                </w:tcPr>
                <w:p>
                  <w:pPr>
                    <w:rPr>
                      <w:rFonts w:hint="eastAsia" w:ascii="Times New Roman" w:hAnsi="Times New Roman" w:cs="Times New Roman" w:eastAsiaTheme="minorEastAsia"/>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eastAsia" w:ascii="宋体" w:hAnsi="宋体" w:eastAsia="宋体" w:cs="楷体"/>
                      <w:bCs/>
                      <w:sz w:val="21"/>
                      <w:szCs w:val="21"/>
                      <w:lang w:val="en-US" w:eastAsia="zh-CN"/>
                    </w:rPr>
                  </w:pPr>
                  <w:r>
                    <w:rPr>
                      <w:rFonts w:hint="eastAsia" w:ascii="宋体" w:hAnsi="宋体" w:cs="楷体"/>
                      <w:bCs/>
                      <w:sz w:val="21"/>
                      <w:szCs w:val="21"/>
                      <w:lang w:val="en-US" w:eastAsia="zh-CN"/>
                    </w:rPr>
                    <w:t>触电</w:t>
                  </w:r>
                </w:p>
              </w:tc>
              <w:tc>
                <w:tcPr>
                  <w:tcW w:w="3965"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eastAsia" w:ascii="宋体" w:hAnsi="宋体" w:cs="楷体"/>
                      <w:bCs/>
                      <w:sz w:val="21"/>
                      <w:szCs w:val="21"/>
                      <w:lang w:val="en-US" w:eastAsia="zh-CN"/>
                    </w:rPr>
                  </w:pPr>
                </w:p>
              </w:tc>
              <w:tc>
                <w:tcPr>
                  <w:tcW w:w="3965"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ascii="宋体" w:hAnsi="宋体" w:eastAsia="宋体" w:cs="宋体"/>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楷体"/>
                <w:bCs/>
                <w:sz w:val="21"/>
                <w:szCs w:val="21"/>
              </w:rPr>
              <w:t>意外伤害事故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136" w:type="dxa"/>
                  <w:shd w:val="clear" w:color="auto" w:fill="auto"/>
                </w:tcPr>
                <w:p>
                  <w:pPr>
                    <w:rPr>
                      <w:rFonts w:ascii="宋体" w:hAnsi="宋体"/>
                      <w:highlight w:val="none"/>
                    </w:rPr>
                  </w:pPr>
                  <w:r>
                    <w:rPr>
                      <w:rFonts w:hint="eastAsia" w:ascii="宋体" w:hAnsi="宋体"/>
                      <w:highlight w:val="none"/>
                    </w:rPr>
                    <w:t>控制措施</w:t>
                  </w:r>
                </w:p>
              </w:tc>
              <w:tc>
                <w:tcPr>
                  <w:tcW w:w="1350" w:type="dxa"/>
                  <w:shd w:val="clear" w:color="auto" w:fill="auto"/>
                </w:tcPr>
                <w:p>
                  <w:pPr>
                    <w:rPr>
                      <w:rFonts w:ascii="宋体" w:hAnsi="宋体"/>
                      <w:highlight w:val="none"/>
                    </w:rPr>
                  </w:pPr>
                  <w:r>
                    <w:rPr>
                      <w:rFonts w:hint="eastAsia" w:ascii="宋体" w:hAnsi="宋体"/>
                      <w:highlight w:val="none"/>
                    </w:rPr>
                    <w:t>责任部门</w:t>
                  </w:r>
                </w:p>
              </w:tc>
              <w:tc>
                <w:tcPr>
                  <w:tcW w:w="1774"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default" w:ascii="Times New Roman" w:hAnsi="Times New Roman" w:eastAsia="宋体" w:cs="Times New Roman"/>
                      <w:color w:val="000000"/>
                      <w:kern w:val="2"/>
                      <w:sz w:val="21"/>
                      <w:szCs w:val="21"/>
                      <w:highlight w:val="none"/>
                      <w:lang w:val="en-US" w:eastAsia="zh-CN" w:bidi="ar-SA"/>
                    </w:rPr>
                  </w:pPr>
                  <w:r>
                    <w:rPr>
                      <w:rFonts w:hint="eastAsia"/>
                      <w:sz w:val="21"/>
                      <w:szCs w:val="21"/>
                    </w:rPr>
                    <w:t>火灾事故为0</w:t>
                  </w:r>
                </w:p>
              </w:tc>
              <w:tc>
                <w:tcPr>
                  <w:tcW w:w="3136" w:type="dxa"/>
                  <w:shd w:val="clear" w:color="auto" w:fill="auto"/>
                  <w:vAlign w:val="center"/>
                </w:tcPr>
                <w:p>
                  <w:pPr>
                    <w:rPr>
                      <w:sz w:val="21"/>
                      <w:szCs w:val="21"/>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sz w:val="21"/>
                      <w:szCs w:val="21"/>
                      <w:highlight w:val="none"/>
                      <w:lang w:val="en-US" w:eastAsia="zh-CN"/>
                    </w:rPr>
                  </w:pPr>
                  <w:r>
                    <w:rPr>
                      <w:rFonts w:hint="eastAsia"/>
                      <w:sz w:val="21"/>
                      <w:szCs w:val="21"/>
                      <w:highlight w:val="none"/>
                      <w:lang w:val="en-US" w:eastAsia="zh-CN"/>
                    </w:rPr>
                    <w:t xml:space="preserve">行政人资部 </w:t>
                  </w:r>
                </w:p>
              </w:tc>
              <w:tc>
                <w:tcPr>
                  <w:tcW w:w="1774" w:type="dxa"/>
                  <w:shd w:val="clear" w:color="auto" w:fill="auto"/>
                  <w:vAlign w:val="center"/>
                </w:tcPr>
                <w:p>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cs="楷体"/>
                      <w:bCs/>
                      <w:sz w:val="21"/>
                      <w:szCs w:val="21"/>
                    </w:rPr>
                    <w:t>触电事故为0</w:t>
                  </w:r>
                </w:p>
              </w:tc>
              <w:tc>
                <w:tcPr>
                  <w:tcW w:w="3136" w:type="dxa"/>
                  <w:shd w:val="clear" w:color="auto" w:fill="auto"/>
                  <w:vAlign w:val="center"/>
                </w:tcPr>
                <w:p>
                  <w:pPr>
                    <w:rPr>
                      <w:rFonts w:ascii="宋体" w:hAnsi="宋体"/>
                      <w:sz w:val="21"/>
                      <w:szCs w:val="21"/>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 xml:space="preserve">行政人资部 </w:t>
                  </w:r>
                </w:p>
              </w:tc>
              <w:tc>
                <w:tcPr>
                  <w:tcW w:w="1774" w:type="dxa"/>
                  <w:shd w:val="clear" w:color="auto" w:fill="auto"/>
                  <w:vAlign w:val="center"/>
                </w:tcPr>
                <w:p>
                  <w:pPr>
                    <w:jc w:val="center"/>
                    <w:rPr>
                      <w:rFonts w:hint="default" w:ascii="宋体" w:hAnsi="宋体"/>
                      <w:sz w:val="21"/>
                      <w:szCs w:val="21"/>
                      <w:highlight w:val="none"/>
                      <w:lang w:val="en-US"/>
                    </w:rPr>
                  </w:pPr>
                  <w:r>
                    <w:rPr>
                      <w:rFonts w:hint="eastAsia" w:ascii="宋体" w:hAnsi="宋体"/>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sz w:val="21"/>
                      <w:szCs w:val="21"/>
                      <w:highlight w:val="none"/>
                    </w:rPr>
                  </w:pPr>
                  <w:r>
                    <w:rPr>
                      <w:rFonts w:hint="eastAsia"/>
                      <w:sz w:val="21"/>
                      <w:szCs w:val="21"/>
                    </w:rPr>
                    <w:t>机械伤害事故为0</w:t>
                  </w:r>
                </w:p>
              </w:tc>
              <w:tc>
                <w:tcPr>
                  <w:tcW w:w="3136" w:type="dxa"/>
                  <w:shd w:val="clear" w:color="auto" w:fill="auto"/>
                  <w:vAlign w:val="center"/>
                </w:tcPr>
                <w:p>
                  <w:pPr>
                    <w:rPr>
                      <w:rFonts w:ascii="宋体" w:hAnsi="宋体"/>
                      <w:sz w:val="21"/>
                      <w:szCs w:val="21"/>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ascii="宋体" w:hAnsi="宋体"/>
                      <w:sz w:val="21"/>
                      <w:szCs w:val="21"/>
                      <w:highlight w:val="none"/>
                    </w:rPr>
                  </w:pPr>
                  <w:r>
                    <w:rPr>
                      <w:rFonts w:hint="eastAsia" w:ascii="宋体" w:hAnsi="宋体" w:cs="宋体"/>
                      <w:kern w:val="0"/>
                      <w:sz w:val="21"/>
                      <w:szCs w:val="21"/>
                    </w:rPr>
                    <w:t>生产部</w:t>
                  </w:r>
                </w:p>
              </w:tc>
              <w:tc>
                <w:tcPr>
                  <w:tcW w:w="1774" w:type="dxa"/>
                  <w:shd w:val="clear" w:color="auto" w:fill="auto"/>
                  <w:vAlign w:val="center"/>
                </w:tcPr>
                <w:p>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sz w:val="21"/>
                      <w:szCs w:val="21"/>
                      <w:highlight w:val="none"/>
                    </w:rPr>
                  </w:pPr>
                  <w:r>
                    <w:rPr>
                      <w:rFonts w:hint="eastAsia"/>
                      <w:sz w:val="21"/>
                      <w:szCs w:val="21"/>
                    </w:rPr>
                    <w:t>意外伤害事故为0；</w:t>
                  </w:r>
                </w:p>
              </w:tc>
              <w:tc>
                <w:tcPr>
                  <w:tcW w:w="3136" w:type="dxa"/>
                  <w:shd w:val="clear" w:color="auto" w:fill="auto"/>
                  <w:vAlign w:val="center"/>
                </w:tcPr>
                <w:p>
                  <w:pPr>
                    <w:rPr>
                      <w:rFonts w:ascii="宋体" w:hAnsi="宋体"/>
                      <w:sz w:val="21"/>
                      <w:szCs w:val="21"/>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ascii="宋体" w:hAnsi="宋体"/>
                      <w:sz w:val="21"/>
                      <w:szCs w:val="21"/>
                      <w:highlight w:val="none"/>
                    </w:rPr>
                  </w:pPr>
                  <w:r>
                    <w:rPr>
                      <w:rFonts w:hint="eastAsia" w:ascii="宋体" w:hAnsi="宋体" w:cs="宋体"/>
                      <w:kern w:val="0"/>
                      <w:sz w:val="21"/>
                      <w:szCs w:val="21"/>
                    </w:rPr>
                    <w:t>生产部</w:t>
                  </w:r>
                </w:p>
              </w:tc>
              <w:tc>
                <w:tcPr>
                  <w:tcW w:w="1774" w:type="dxa"/>
                  <w:shd w:val="clear" w:color="auto" w:fill="auto"/>
                  <w:vAlign w:val="center"/>
                </w:tcPr>
                <w:p>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应确定、提供并维护</w:t>
            </w:r>
            <w:r>
              <w:rPr>
                <w:rFonts w:hint="eastAsia" w:ascii="Times New Roman" w:hAnsi="Times New Roman" w:eastAsia="宋体" w:cs="Times New Roman"/>
                <w:highlight w:val="none"/>
              </w:rPr>
              <w:t>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val="en-US" w:eastAsia="zh-CN"/>
              </w:rPr>
              <w:t>5100</w:t>
            </w:r>
            <w:r>
              <w:rPr>
                <w:rFonts w:hint="eastAsia" w:cs="Times New Roman"/>
                <w:highlight w:val="none"/>
                <w:lang w:eastAsia="zh-CN"/>
              </w:rPr>
              <w:t>平方米</w:t>
            </w:r>
            <w:r>
              <w:rPr>
                <w:rFonts w:hint="eastAsia" w:ascii="Times New Roman" w:hAnsi="Times New Roman" w:eastAsia="宋体" w:cs="Times New Roman"/>
                <w:highlight w:val="none"/>
              </w:rPr>
              <w:t>；生产车间</w:t>
            </w:r>
            <w:r>
              <w:rPr>
                <w:rFonts w:hint="eastAsia" w:cs="Times New Roman"/>
                <w:highlight w:val="none"/>
                <w:lang w:val="en-US" w:eastAsia="zh-CN"/>
              </w:rPr>
              <w:t>1</w:t>
            </w:r>
            <w:r>
              <w:rPr>
                <w:rFonts w:hint="eastAsia" w:ascii="Times New Roman" w:hAnsi="Times New Roman" w:eastAsia="宋体" w:cs="Times New Roman"/>
                <w:highlight w:val="none"/>
              </w:rPr>
              <w:t xml:space="preserve">  个；库房 </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w:t>
            </w:r>
            <w:r>
              <w:rPr>
                <w:rFonts w:hint="eastAsia" w:ascii="Times New Roman" w:hAnsi="Times New Roman" w:eastAsia="宋体" w:cs="Times New Roman"/>
                <w:highlight w:val="none"/>
              </w:rPr>
              <w:t xml:space="preserve">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办公设备（电脑、打印机、复印机等）；生产设备（流水线工作台、砂轮机、电烙铁、网口钳、开孔器、交换机、五金工具（螺丝刀等））</w:t>
            </w:r>
            <w:r>
              <w:rPr>
                <w:rFonts w:hint="eastAsia" w:ascii="Times New Roman" w:hAnsi="Times New Roman" w:eastAsia="宋体" w:cs="Times New Roman"/>
                <w:highlight w:val="none"/>
                <w:u w:val="singl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highlight w:val="none"/>
                <w:u w:val="single"/>
              </w:rPr>
            </w:pPr>
            <w:r>
              <w:rPr>
                <w:rFonts w:hint="eastAsia"/>
              </w:rPr>
              <w:t>审核期</w:t>
            </w:r>
            <w:r>
              <w:rPr>
                <w:rFonts w:hint="eastAsia"/>
                <w:highlight w:val="none"/>
              </w:rPr>
              <w:t>间内，设计和开发新产品/项目名称：</w:t>
            </w:r>
            <w:r>
              <w:rPr>
                <w:rFonts w:hint="eastAsia"/>
                <w:highlight w:val="none"/>
                <w:lang w:val="en-US" w:eastAsia="zh-CN"/>
              </w:rPr>
              <w:t xml:space="preserve"> </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 xml:space="preserve">  </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p>
          <w:p>
            <w:r>
              <w:rPr>
                <w:rFonts w:hint="eastAsia"/>
                <w:highlight w:val="none"/>
              </w:rPr>
              <w:t>对该设计和</w:t>
            </w:r>
            <w:r>
              <w:rPr>
                <w:rFonts w:hint="eastAsia"/>
              </w:rPr>
              <w:t>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ascii="宋体" w:hAnsi="宋体" w:eastAsia="宋体" w:cs="宋体"/>
                      <w:highlight w:val="none"/>
                      <w:lang w:eastAsia="zh-CN"/>
                    </w:rPr>
                    <w:t>■</w:t>
                  </w:r>
                  <w:r>
                    <w:rPr>
                      <w:rFonts w:hint="eastAsia"/>
                      <w:highlight w:val="none"/>
                    </w:rPr>
                    <w:t>安全装置 □挂牌上锁管理</w:t>
                  </w: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宋体" w:hAnsi="宋体" w:eastAsia="宋体" w:cs="宋体"/>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宋体" w:hAnsi="宋体" w:eastAsia="宋体" w:cs="宋体"/>
              </w:rPr>
              <w:t>■</w:t>
            </w:r>
            <w:r>
              <w:rPr>
                <w:rFonts w:hint="eastAsia" w:eastAsia="宋体"/>
              </w:rPr>
              <w:t>其他</w:t>
            </w:r>
            <w:r>
              <w:rPr>
                <w:rFonts w:hint="eastAsia"/>
                <w:lang w:eastAsia="zh-CN"/>
              </w:rPr>
              <w:t>：</w:t>
            </w:r>
            <w:r>
              <w:rPr>
                <w:rFonts w:hint="eastAsia"/>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highlight w:val="none"/>
                <w:u w:val="single"/>
                <w:lang w:eastAsia="zh-CN"/>
              </w:rPr>
              <w:t>2021年12月</w:t>
            </w:r>
            <w:r>
              <w:rPr>
                <w:rFonts w:hint="eastAsia"/>
                <w:highlight w:val="none"/>
                <w:u w:val="single"/>
                <w:lang w:val="en-US" w:eastAsia="zh-CN"/>
              </w:rPr>
              <w:t>2</w:t>
            </w:r>
            <w:r>
              <w:rPr>
                <w:rFonts w:hint="eastAsia"/>
                <w:highlight w:val="none"/>
                <w:u w:val="single"/>
                <w:lang w:eastAsia="zh-CN"/>
              </w:rPr>
              <w:t>0日进行了火灾演练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lang w:eastAsia="zh-CN"/>
              </w:rPr>
              <w:t>2022年2月20日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2022年3月10日-11日</w:t>
            </w:r>
            <w:r>
              <w:rPr>
                <w:rFonts w:hint="eastAsia"/>
              </w:rPr>
              <w:t>实施了职业健康安全管理体系内部审核，对职业健康安全管理体系的符合性和有效性进行了审核。内审</w:t>
            </w:r>
            <w:r>
              <w:rPr>
                <w:rFonts w:hint="eastAsia"/>
                <w:highlight w:val="none"/>
              </w:rPr>
              <w:t xml:space="preserve">发现的 </w:t>
            </w:r>
            <w:r>
              <w:rPr>
                <w:rFonts w:hint="eastAsia"/>
                <w:highlight w:val="none"/>
                <w:lang w:val="en-US" w:eastAsia="zh-CN"/>
              </w:rPr>
              <w:t>1</w:t>
            </w:r>
            <w:r>
              <w:rPr>
                <w:rFonts w:hint="eastAsia"/>
                <w:highlight w:val="none"/>
              </w:rPr>
              <w:t xml:space="preserve"> 项不</w:t>
            </w:r>
            <w:r>
              <w:rPr>
                <w:rFonts w:hint="eastAsia"/>
              </w:rPr>
              <w:t>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2022年3月21日</w:t>
            </w:r>
            <w:r>
              <w:rPr>
                <w:rFonts w:hint="eastAsia"/>
                <w:highlight w:val="none"/>
              </w:rPr>
              <w:t>对组织</w:t>
            </w:r>
            <w:r>
              <w:rPr>
                <w:rFonts w:hint="eastAsia"/>
              </w:rPr>
              <w:t>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D41705B"/>
    <w:rsid w:val="2D482334"/>
    <w:rsid w:val="34E46AC5"/>
    <w:rsid w:val="36640632"/>
    <w:rsid w:val="38940A0D"/>
    <w:rsid w:val="3B69646F"/>
    <w:rsid w:val="499A0DF8"/>
    <w:rsid w:val="54A506C8"/>
    <w:rsid w:val="562E6F08"/>
    <w:rsid w:val="59D632B7"/>
    <w:rsid w:val="6ECA5E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2022-04-14T06:50:08Z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