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0078-2020-QEO-2022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59"/>
        <w:gridCol w:w="156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769"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重庆跃达</w:t>
            </w:r>
            <w:r>
              <w:rPr>
                <w:rFonts w:hint="eastAsia" w:eastAsia="隶书"/>
                <w:b/>
                <w:color w:val="000000" w:themeColor="text1"/>
                <w:sz w:val="22"/>
                <w:szCs w:val="22"/>
              </w:rPr>
              <w:t>新能源</w:t>
            </w:r>
            <w:r>
              <w:rPr>
                <w:rFonts w:eastAsia="隶书"/>
                <w:b/>
                <w:color w:val="000000" w:themeColor="text1"/>
                <w:sz w:val="22"/>
                <w:szCs w:val="22"/>
              </w:rPr>
              <w:t>有限公司</w:t>
            </w:r>
            <w:bookmarkEnd w:id="1"/>
          </w:p>
        </w:tc>
        <w:tc>
          <w:tcPr>
            <w:tcW w:w="156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12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769" w:type="dxa"/>
            <w:gridSpan w:val="3"/>
          </w:tcPr>
          <w:p>
            <w:pPr>
              <w:snapToGrid w:val="0"/>
              <w:spacing w:line="0" w:lineRule="atLeast"/>
              <w:jc w:val="center"/>
              <w:rPr>
                <w:sz w:val="22"/>
                <w:szCs w:val="22"/>
              </w:rPr>
            </w:pPr>
            <w:r>
              <w:rPr>
                <w:b/>
                <w:bCs/>
                <w:color w:val="000000" w:themeColor="text1"/>
                <w:sz w:val="21"/>
                <w:szCs w:val="21"/>
                <w:u w:val="single"/>
              </w:rPr>
              <w:t>0078-2020-QEO-2022</w:t>
            </w:r>
          </w:p>
        </w:tc>
        <w:tc>
          <w:tcPr>
            <w:tcW w:w="1560" w:type="dxa"/>
          </w:tcPr>
          <w:p>
            <w:pPr>
              <w:snapToGrid w:val="0"/>
              <w:spacing w:line="0" w:lineRule="atLeast"/>
              <w:jc w:val="center"/>
              <w:rPr>
                <w:sz w:val="22"/>
                <w:szCs w:val="22"/>
              </w:rPr>
            </w:pPr>
            <w:r>
              <w:rPr>
                <w:rFonts w:hint="eastAsia"/>
                <w:sz w:val="22"/>
                <w:szCs w:val="22"/>
                <w:lang w:val="en-GB"/>
              </w:rPr>
              <w:t>证书号</w:t>
            </w:r>
          </w:p>
        </w:tc>
        <w:tc>
          <w:tcPr>
            <w:tcW w:w="2126" w:type="dxa"/>
          </w:tcPr>
          <w:p>
            <w:pPr>
              <w:snapToGrid w:val="0"/>
              <w:spacing w:line="0" w:lineRule="atLeast"/>
              <w:jc w:val="center"/>
              <w:rPr>
                <w:sz w:val="22"/>
                <w:szCs w:val="22"/>
              </w:rPr>
            </w:pPr>
            <w:bookmarkStart w:id="3" w:name="证书编号"/>
            <w:r>
              <w:rPr>
                <w:sz w:val="22"/>
                <w:szCs w:val="22"/>
              </w:rPr>
              <w:t>Q:ISC-Q-2020-0786,E:ISC-E-2020-0535,O:ISC-O-2020-0491</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769" w:type="dxa"/>
            <w:gridSpan w:val="3"/>
          </w:tcPr>
          <w:p>
            <w:pPr>
              <w:snapToGrid w:val="0"/>
              <w:spacing w:line="0" w:lineRule="atLeast"/>
              <w:jc w:val="center"/>
              <w:rPr>
                <w:sz w:val="22"/>
                <w:szCs w:val="22"/>
              </w:rPr>
            </w:pPr>
            <w:bookmarkStart w:id="4" w:name="机构代码"/>
            <w:r>
              <w:rPr>
                <w:sz w:val="22"/>
                <w:szCs w:val="22"/>
              </w:rPr>
              <w:t>91500105774875193G</w:t>
            </w:r>
            <w:bookmarkEnd w:id="4"/>
          </w:p>
        </w:tc>
        <w:tc>
          <w:tcPr>
            <w:tcW w:w="1560" w:type="dxa"/>
          </w:tcPr>
          <w:p>
            <w:pPr>
              <w:snapToGrid w:val="0"/>
              <w:spacing w:line="0" w:lineRule="atLeast"/>
              <w:jc w:val="center"/>
              <w:rPr>
                <w:sz w:val="22"/>
                <w:szCs w:val="22"/>
              </w:rPr>
            </w:pPr>
            <w:r>
              <w:rPr>
                <w:rFonts w:hint="eastAsia"/>
                <w:sz w:val="22"/>
                <w:szCs w:val="22"/>
              </w:rPr>
              <w:t>是否带CNAS标志</w:t>
            </w:r>
          </w:p>
        </w:tc>
        <w:tc>
          <w:tcPr>
            <w:tcW w:w="2126" w:type="dxa"/>
          </w:tcPr>
          <w:p>
            <w:pPr>
              <w:snapToGrid w:val="0"/>
              <w:spacing w:line="0" w:lineRule="atLeast"/>
              <w:rPr>
                <w:sz w:val="22"/>
                <w:szCs w:val="22"/>
              </w:rPr>
            </w:pPr>
            <w:r>
              <w:rPr>
                <w:rFonts w:hint="eastAsia"/>
                <w:sz w:val="22"/>
                <w:szCs w:val="22"/>
              </w:rPr>
              <w:t xml:space="preserve">□ 带标  </w:t>
            </w:r>
            <w:bookmarkStart w:id="5" w:name="S勾选Add1"/>
            <w:r>
              <w:rPr>
                <w:rFonts w:hint="eastAsia" w:ascii="宋体" w:hAnsi="宋体"/>
                <w:b/>
                <w:sz w:val="22"/>
                <w:szCs w:val="22"/>
              </w:rPr>
              <w:t>■</w:t>
            </w:r>
            <w:bookmarkEnd w:id="5"/>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69"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(不适用：8.3条款)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560" w:type="dxa"/>
          </w:tcPr>
          <w:p>
            <w:pPr>
              <w:snapToGrid w:val="0"/>
              <w:spacing w:line="0" w:lineRule="atLeast"/>
              <w:jc w:val="center"/>
              <w:rPr>
                <w:sz w:val="22"/>
                <w:szCs w:val="22"/>
              </w:rPr>
            </w:pPr>
            <w:r>
              <w:rPr>
                <w:rFonts w:hint="eastAsia"/>
                <w:sz w:val="22"/>
                <w:szCs w:val="22"/>
              </w:rPr>
              <w:t>企业体系有效人数</w:t>
            </w:r>
          </w:p>
        </w:tc>
        <w:tc>
          <w:tcPr>
            <w:tcW w:w="2126" w:type="dxa"/>
          </w:tcPr>
          <w:p>
            <w:pPr>
              <w:snapToGrid w:val="0"/>
              <w:spacing w:line="0" w:lineRule="atLeast"/>
              <w:jc w:val="center"/>
              <w:rPr>
                <w:sz w:val="22"/>
                <w:szCs w:val="22"/>
              </w:rPr>
            </w:pPr>
            <w:bookmarkStart w:id="13" w:name="体系人数"/>
            <w:r>
              <w:rPr>
                <w:sz w:val="22"/>
                <w:szCs w:val="22"/>
              </w:rPr>
              <w:t>Q:</w:t>
            </w:r>
            <w:r>
              <w:rPr>
                <w:rFonts w:hint="eastAsia"/>
                <w:sz w:val="22"/>
                <w:szCs w:val="22"/>
              </w:rPr>
              <w:t>2</w:t>
            </w:r>
            <w:r>
              <w:rPr>
                <w:sz w:val="22"/>
                <w:szCs w:val="22"/>
              </w:rPr>
              <w:t>5,E:</w:t>
            </w:r>
            <w:r>
              <w:rPr>
                <w:rFonts w:hint="eastAsia"/>
                <w:sz w:val="22"/>
                <w:szCs w:val="22"/>
              </w:rPr>
              <w:t>2</w:t>
            </w:r>
            <w:r>
              <w:rPr>
                <w:sz w:val="22"/>
                <w:szCs w:val="22"/>
              </w:rPr>
              <w:t>5,O:</w:t>
            </w:r>
            <w:r>
              <w:rPr>
                <w:rFonts w:hint="eastAsia"/>
                <w:sz w:val="22"/>
                <w:szCs w:val="22"/>
              </w:rPr>
              <w:t>2</w:t>
            </w:r>
            <w:r>
              <w:rPr>
                <w:sz w:val="22"/>
                <w:szCs w:val="22"/>
              </w:rPr>
              <w:t>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455"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455" w:type="dxa"/>
            <w:gridSpan w:val="5"/>
          </w:tcPr>
          <w:p>
            <w:pPr>
              <w:pStyle w:val="2"/>
              <w:spacing w:line="360" w:lineRule="exact"/>
              <w:ind w:firstLine="0"/>
              <w:rPr>
                <w:b/>
                <w:color w:val="000000" w:themeColor="text1"/>
                <w:spacing w:val="-2"/>
                <w:sz w:val="21"/>
                <w:szCs w:val="21"/>
              </w:rPr>
            </w:pPr>
            <w:r>
              <w:rPr>
                <w:rFonts w:hint="eastAsia"/>
                <w:b/>
                <w:color w:val="000000" w:themeColor="text1"/>
                <w:spacing w:val="-2"/>
                <w:sz w:val="21"/>
                <w:szCs w:val="21"/>
              </w:rPr>
              <w:t>■</w:t>
            </w: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1"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82"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8" w:name="组织名称Add1"/>
            <w:r>
              <w:rPr>
                <w:rFonts w:hint="eastAsia"/>
                <w:sz w:val="22"/>
                <w:szCs w:val="22"/>
              </w:rPr>
              <w:t>重庆跃达新能源有限公司</w:t>
            </w:r>
            <w:bookmarkEnd w:id="18"/>
          </w:p>
        </w:tc>
        <w:tc>
          <w:tcPr>
            <w:tcW w:w="5082" w:type="dxa"/>
            <w:gridSpan w:val="4"/>
            <w:vMerge w:val="restart"/>
          </w:tcPr>
          <w:p>
            <w:pPr>
              <w:snapToGrid w:val="0"/>
              <w:spacing w:line="0" w:lineRule="atLeast"/>
              <w:jc w:val="left"/>
              <w:rPr>
                <w:sz w:val="22"/>
                <w:szCs w:val="22"/>
              </w:rPr>
            </w:pPr>
            <w:bookmarkStart w:id="19" w:name="审核范围"/>
            <w:r>
              <w:rPr>
                <w:sz w:val="22"/>
                <w:szCs w:val="22"/>
              </w:rPr>
              <w:t>Q：真空断路器、柱上单相隔离开关、户外交流高压跌落式熔断器的生产（资质许可范围内除外）。</w:t>
            </w:r>
          </w:p>
          <w:p>
            <w:pPr>
              <w:snapToGrid w:val="0"/>
              <w:spacing w:line="0" w:lineRule="atLeast"/>
              <w:jc w:val="left"/>
              <w:rPr>
                <w:sz w:val="22"/>
                <w:szCs w:val="22"/>
              </w:rPr>
            </w:pPr>
            <w:r>
              <w:rPr>
                <w:sz w:val="22"/>
                <w:szCs w:val="22"/>
              </w:rPr>
              <w:t>E：真空断路器、柱上单相隔离开关、户外交流高压跌落式熔断器的生产（资质许可范围内除外）所涉及的相关环境管理活动。</w:t>
            </w:r>
          </w:p>
          <w:p>
            <w:pPr>
              <w:snapToGrid w:val="0"/>
              <w:spacing w:line="0" w:lineRule="atLeast"/>
              <w:jc w:val="left"/>
              <w:rPr>
                <w:sz w:val="22"/>
                <w:szCs w:val="22"/>
              </w:rPr>
            </w:pPr>
            <w:r>
              <w:rPr>
                <w:sz w:val="22"/>
                <w:szCs w:val="22"/>
              </w:rPr>
              <w:t>O：真空断路器、柱上单相隔离开关、户外交流高压跌落式熔断器的生产(资质许可范围内除外）所涉及的相关职业健康安全管理活动。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重庆市江北区港城东路2号5幢5-1</w:t>
            </w:r>
            <w:bookmarkEnd w:id="20"/>
          </w:p>
        </w:tc>
        <w:tc>
          <w:tcPr>
            <w:tcW w:w="5082"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重庆市江北区港城东路2号5幢5-1</w:t>
            </w:r>
            <w:bookmarkEnd w:id="21"/>
          </w:p>
        </w:tc>
        <w:tc>
          <w:tcPr>
            <w:tcW w:w="5082"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1"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82"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sz w:val="22"/>
                <w:szCs w:val="22"/>
              </w:rPr>
              <w:t>Chongqing Yueda new energy Co., Ltd</w:t>
            </w:r>
          </w:p>
        </w:tc>
        <w:tc>
          <w:tcPr>
            <w:tcW w:w="1337" w:type="dxa"/>
          </w:tcPr>
          <w:p>
            <w:pPr>
              <w:snapToGrid w:val="0"/>
              <w:spacing w:line="0" w:lineRule="atLeast"/>
              <w:jc w:val="left"/>
              <w:rPr>
                <w:sz w:val="22"/>
                <w:szCs w:val="22"/>
              </w:rPr>
            </w:pPr>
            <w:r>
              <w:rPr>
                <w:rFonts w:hint="eastAsia"/>
                <w:sz w:val="22"/>
                <w:szCs w:val="22"/>
              </w:rPr>
              <w:t>QMS/EcMS</w:t>
            </w:r>
          </w:p>
        </w:tc>
        <w:tc>
          <w:tcPr>
            <w:tcW w:w="3745" w:type="dxa"/>
            <w:gridSpan w:val="3"/>
          </w:tcPr>
          <w:p>
            <w:pPr>
              <w:snapToGrid w:val="0"/>
              <w:spacing w:line="0" w:lineRule="atLeast"/>
              <w:jc w:val="left"/>
              <w:rPr>
                <w:sz w:val="21"/>
                <w:szCs w:val="16"/>
              </w:rPr>
            </w:pPr>
            <w:r>
              <w:rPr>
                <w:rFonts w:hint="eastAsia"/>
                <w:sz w:val="21"/>
                <w:szCs w:val="16"/>
              </w:rPr>
              <w:t>Production of vacuum circuit breaker, single-phase disconnector on column and outdoor AC high-voltage drop fuse (except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745" w:type="dxa"/>
            <w:gridSpan w:val="3"/>
          </w:tcPr>
          <w:p>
            <w:pPr>
              <w:snapToGrid w:val="0"/>
              <w:spacing w:line="0" w:lineRule="atLeast"/>
              <w:jc w:val="left"/>
              <w:rPr>
                <w:sz w:val="21"/>
                <w:szCs w:val="16"/>
              </w:rPr>
            </w:pPr>
            <w:r>
              <w:rPr>
                <w:rFonts w:hint="eastAsia"/>
                <w:sz w:val="21"/>
                <w:szCs w:val="16"/>
              </w:rPr>
              <w:t>Relevant environmental management activities involved in the production of vacuum circuit breaker, column single-phase disconnector and outdoor AC high-voltage drop fuse (except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sz w:val="22"/>
                <w:szCs w:val="22"/>
              </w:rPr>
              <w:t>5-1, building 5, No. 2, Gangcheng East Road, Jiangbei District, Chongqing</w:t>
            </w:r>
          </w:p>
        </w:tc>
        <w:tc>
          <w:tcPr>
            <w:tcW w:w="1337" w:type="dxa"/>
          </w:tcPr>
          <w:p>
            <w:pPr>
              <w:snapToGrid w:val="0"/>
              <w:spacing w:line="0" w:lineRule="atLeast"/>
              <w:jc w:val="left"/>
              <w:rPr>
                <w:sz w:val="22"/>
                <w:szCs w:val="22"/>
              </w:rPr>
            </w:pPr>
            <w:r>
              <w:rPr>
                <w:rFonts w:hint="eastAsia"/>
                <w:sz w:val="22"/>
                <w:szCs w:val="22"/>
              </w:rPr>
              <w:t>OHSMS</w:t>
            </w:r>
          </w:p>
        </w:tc>
        <w:tc>
          <w:tcPr>
            <w:tcW w:w="3745" w:type="dxa"/>
            <w:gridSpan w:val="3"/>
          </w:tcPr>
          <w:p>
            <w:pPr>
              <w:snapToGrid w:val="0"/>
              <w:spacing w:line="0" w:lineRule="atLeast"/>
              <w:jc w:val="left"/>
              <w:rPr>
                <w:sz w:val="22"/>
                <w:szCs w:val="22"/>
              </w:rPr>
            </w:pPr>
            <w:r>
              <w:rPr>
                <w:rFonts w:hint="eastAsia"/>
                <w:sz w:val="22"/>
                <w:szCs w:val="22"/>
              </w:rPr>
              <w:t>Relevant occupational health and safety management activities involved in the production of vacuum circuit breaker, column single-phase disconnector and outdoor AC high-voltage drop fuse (except within the scope of</w:t>
            </w:r>
            <w:bookmarkStart w:id="22" w:name="_GoBack"/>
            <w:bookmarkEnd w:id="22"/>
            <w:r>
              <w:rPr>
                <w:rFonts w:hint="eastAsia"/>
                <w:sz w:val="22"/>
                <w:szCs w:val="22"/>
              </w:rPr>
              <w:t xml:space="preserve">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745"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sz w:val="22"/>
                <w:szCs w:val="22"/>
              </w:rPr>
              <w:t>5-1, building 5, No. 2, Gangcheng East Road, Jiangbei District, Chongqing</w:t>
            </w:r>
          </w:p>
        </w:tc>
        <w:tc>
          <w:tcPr>
            <w:tcW w:w="1337" w:type="dxa"/>
          </w:tcPr>
          <w:p>
            <w:pPr>
              <w:snapToGrid w:val="0"/>
              <w:spacing w:line="0" w:lineRule="atLeast"/>
              <w:jc w:val="left"/>
              <w:rPr>
                <w:sz w:val="22"/>
                <w:szCs w:val="22"/>
              </w:rPr>
            </w:pPr>
            <w:r>
              <w:rPr>
                <w:rFonts w:hint="eastAsia"/>
                <w:sz w:val="22"/>
                <w:szCs w:val="22"/>
              </w:rPr>
              <w:t>FSMS</w:t>
            </w:r>
          </w:p>
        </w:tc>
        <w:tc>
          <w:tcPr>
            <w:tcW w:w="3745"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745"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31"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1"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769"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560" w:type="dxa"/>
          </w:tcPr>
          <w:p>
            <w:pPr>
              <w:snapToGrid w:val="0"/>
              <w:spacing w:line="0" w:lineRule="atLeast"/>
              <w:jc w:val="left"/>
              <w:rPr>
                <w:sz w:val="22"/>
                <w:szCs w:val="22"/>
              </w:rPr>
            </w:pPr>
            <w:r>
              <w:rPr>
                <w:rFonts w:hint="eastAsia"/>
                <w:sz w:val="22"/>
                <w:szCs w:val="18"/>
              </w:rPr>
              <w:t>审核组长签字</w:t>
            </w:r>
          </w:p>
        </w:tc>
        <w:tc>
          <w:tcPr>
            <w:tcW w:w="212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3073"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B797A"/>
    <w:rsid w:val="000100F5"/>
    <w:rsid w:val="004A733C"/>
    <w:rsid w:val="00551CFF"/>
    <w:rsid w:val="005D15F4"/>
    <w:rsid w:val="00EB797A"/>
    <w:rsid w:val="00FC043F"/>
    <w:rsid w:val="03C13E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223</Words>
  <Characters>1277</Characters>
  <Lines>10</Lines>
  <Paragraphs>2</Paragraphs>
  <TotalTime>9</TotalTime>
  <ScaleCrop>false</ScaleCrop>
  <LinksUpToDate>false</LinksUpToDate>
  <CharactersWithSpaces>1498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CQYD1406558381</cp:lastModifiedBy>
  <cp:lastPrinted>2022-04-13T07:16:49Z</cp:lastPrinted>
  <dcterms:modified xsi:type="dcterms:W3CDTF">2022-04-13T07:19:47Z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