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0267-2022-QEO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914"/>
        <w:gridCol w:w="2459"/>
        <w:gridCol w:w="31"/>
        <w:gridCol w:w="1306"/>
        <w:gridCol w:w="330"/>
        <w:gridCol w:w="854"/>
        <w:gridCol w:w="516"/>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5"/>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河北筑源商品混凝土有限公司</w:t>
            </w:r>
            <w:bookmarkEnd w:id="1"/>
          </w:p>
        </w:tc>
        <w:tc>
          <w:tcPr>
            <w:tcW w:w="1370" w:type="dxa"/>
            <w:gridSpan w:val="2"/>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吉洁</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5"/>
          </w:tcPr>
          <w:p>
            <w:pPr>
              <w:snapToGrid w:val="0"/>
              <w:spacing w:line="0" w:lineRule="atLeast"/>
              <w:jc w:val="center"/>
              <w:rPr>
                <w:sz w:val="22"/>
                <w:szCs w:val="22"/>
              </w:rPr>
            </w:pPr>
          </w:p>
        </w:tc>
        <w:tc>
          <w:tcPr>
            <w:tcW w:w="1370" w:type="dxa"/>
            <w:gridSpan w:val="2"/>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5"/>
          </w:tcPr>
          <w:p>
            <w:pPr>
              <w:snapToGrid w:val="0"/>
              <w:spacing w:line="0" w:lineRule="atLeast"/>
              <w:jc w:val="center"/>
              <w:rPr>
                <w:sz w:val="22"/>
                <w:szCs w:val="22"/>
              </w:rPr>
            </w:pPr>
            <w:bookmarkStart w:id="4" w:name="机构代码"/>
            <w:r>
              <w:rPr>
                <w:sz w:val="22"/>
                <w:szCs w:val="22"/>
              </w:rPr>
              <w:t>91130609MA0G29QJ88</w:t>
            </w:r>
            <w:bookmarkEnd w:id="4"/>
          </w:p>
        </w:tc>
        <w:tc>
          <w:tcPr>
            <w:tcW w:w="1370" w:type="dxa"/>
            <w:gridSpan w:val="2"/>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sz w:val="22"/>
                <w:szCs w:val="22"/>
              </w:rPr>
              <w:t xml:space="preserve">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5"/>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w:t>
            </w:r>
          </w:p>
          <w:p>
            <w:pPr>
              <w:snapToGrid w:val="0"/>
              <w:spacing w:line="0" w:lineRule="atLeast"/>
              <w:jc w:val="left"/>
              <w:rPr>
                <w:sz w:val="22"/>
                <w:szCs w:val="22"/>
              </w:rPr>
            </w:pPr>
            <w:bookmarkStart w:id="6" w:name="E勾选"/>
            <w:r>
              <w:rPr>
                <w:rFonts w:hint="eastAsia"/>
                <w:sz w:val="22"/>
                <w:szCs w:val="22"/>
              </w:rPr>
              <w:t>■</w:t>
            </w:r>
            <w:bookmarkEnd w:id="6"/>
            <w:r>
              <w:rPr>
                <w:rFonts w:hint="eastAsia"/>
                <w:sz w:val="22"/>
                <w:szCs w:val="22"/>
              </w:rPr>
              <w:t xml:space="preserve"> GB/T 24001-2016 idt ISO 14001:2015标准</w:t>
            </w:r>
          </w:p>
          <w:p>
            <w:pPr>
              <w:snapToGrid w:val="0"/>
              <w:spacing w:line="0" w:lineRule="atLeast"/>
              <w:jc w:val="left"/>
              <w:rPr>
                <w:sz w:val="22"/>
                <w:szCs w:val="22"/>
              </w:rPr>
            </w:pPr>
            <w:bookmarkStart w:id="7" w:name="S勾选"/>
            <w:r>
              <w:rPr>
                <w:rFonts w:hint="eastAsia"/>
                <w:sz w:val="22"/>
                <w:szCs w:val="22"/>
              </w:rPr>
              <w:t>■</w:t>
            </w:r>
            <w:bookmarkEnd w:id="7"/>
            <w:r>
              <w:rPr>
                <w:rFonts w:hint="eastAsia"/>
                <w:sz w:val="22"/>
                <w:szCs w:val="22"/>
              </w:rPr>
              <w:t xml:space="preserve"> GB/T 45001-2020 idt ISO 45001:2018标准</w:t>
            </w:r>
          </w:p>
        </w:tc>
        <w:tc>
          <w:tcPr>
            <w:tcW w:w="1370" w:type="dxa"/>
            <w:gridSpan w:val="2"/>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8" w:name="体系人数"/>
            <w:r>
              <w:rPr>
                <w:sz w:val="22"/>
                <w:szCs w:val="22"/>
              </w:rPr>
              <w:t>Q:25,E:25,O:25</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8"/>
          </w:tcPr>
          <w:p>
            <w:pPr>
              <w:pStyle w:val="3"/>
              <w:spacing w:line="400" w:lineRule="exact"/>
              <w:ind w:firstLine="0"/>
              <w:rPr>
                <w:sz w:val="22"/>
                <w:szCs w:val="22"/>
              </w:rPr>
            </w:pPr>
            <w:bookmarkStart w:id="9" w:name="初审"/>
            <w:r>
              <w:rPr>
                <w:rFonts w:hint="eastAsia"/>
                <w:b/>
                <w:color w:val="000000" w:themeColor="text1"/>
                <w:spacing w:val="-2"/>
                <w:sz w:val="21"/>
                <w:szCs w:val="21"/>
              </w:rPr>
              <w:t>■</w:t>
            </w:r>
            <w:bookmarkEnd w:id="9"/>
            <w:r>
              <w:rPr>
                <w:rFonts w:hint="eastAsia"/>
                <w:b/>
                <w:color w:val="000000" w:themeColor="text1"/>
                <w:spacing w:val="-2"/>
                <w:sz w:val="21"/>
                <w:szCs w:val="21"/>
              </w:rPr>
              <w:t>初次认证</w:t>
            </w:r>
            <w:bookmarkStart w:id="10" w:name="监督勾选"/>
            <w:r>
              <w:rPr>
                <w:rFonts w:hint="eastAsia"/>
                <w:b/>
                <w:color w:val="000000" w:themeColor="text1"/>
                <w:spacing w:val="-2"/>
                <w:sz w:val="21"/>
                <w:szCs w:val="21"/>
              </w:rPr>
              <w:t>□</w:t>
            </w:r>
            <w:bookmarkEnd w:id="10"/>
            <w:r>
              <w:rPr>
                <w:rFonts w:hint="eastAsia"/>
                <w:b/>
                <w:color w:val="000000" w:themeColor="text1"/>
                <w:spacing w:val="-2"/>
                <w:sz w:val="21"/>
                <w:szCs w:val="21"/>
              </w:rPr>
              <w:t>监督审核</w:t>
            </w:r>
            <w:bookmarkStart w:id="11" w:name="再认证勾选"/>
            <w:r>
              <w:rPr>
                <w:rFonts w:hint="eastAsia"/>
                <w:b/>
                <w:color w:val="000000" w:themeColor="text1"/>
                <w:spacing w:val="-2"/>
                <w:sz w:val="21"/>
                <w:szCs w:val="21"/>
              </w:rPr>
              <w:t>□</w:t>
            </w:r>
            <w:bookmarkEnd w:id="11"/>
            <w:r>
              <w:rPr>
                <w:rFonts w:hint="eastAsia"/>
                <w:b/>
                <w:color w:val="000000" w:themeColor="text1"/>
                <w:spacing w:val="-2"/>
                <w:sz w:val="21"/>
                <w:szCs w:val="21"/>
              </w:rPr>
              <w:t>再认证</w:t>
            </w:r>
            <w:bookmarkStart w:id="12" w:name="特殊审核勾选"/>
            <w:r>
              <w:rPr>
                <w:rFonts w:hint="eastAsia"/>
                <w:b/>
                <w:color w:val="000000" w:themeColor="text1"/>
                <w:spacing w:val="-2"/>
                <w:sz w:val="21"/>
                <w:szCs w:val="21"/>
              </w:rPr>
              <w:t>□</w:t>
            </w:r>
            <w:bookmarkEnd w:id="12"/>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8"/>
          </w:tcPr>
          <w:p>
            <w:pPr>
              <w:pStyle w:val="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9"/>
            <w:shd w:val="clear" w:color="auto" w:fill="9ED3A3" w:themeFill="background1" w:themeFillShade="D8"/>
          </w:tcPr>
          <w:p>
            <w:pPr>
              <w:pStyle w:val="14"/>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gridSpan w:val="2"/>
          </w:tcPr>
          <w:p>
            <w:pPr>
              <w:snapToGrid w:val="0"/>
              <w:spacing w:line="0" w:lineRule="atLeast"/>
              <w:jc w:val="left"/>
              <w:rPr>
                <w:sz w:val="22"/>
                <w:szCs w:val="22"/>
              </w:rPr>
            </w:pPr>
            <w:r>
              <w:rPr>
                <w:rFonts w:hint="eastAsia"/>
                <w:sz w:val="22"/>
                <w:szCs w:val="22"/>
                <w:lang w:val="en-GB"/>
              </w:rPr>
              <w:t>中文公司名称及地址</w:t>
            </w:r>
          </w:p>
        </w:tc>
        <w:tc>
          <w:tcPr>
            <w:tcW w:w="5013" w:type="dxa"/>
            <w:gridSpan w:val="6"/>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gridSpan w:val="2"/>
            <w:vMerge w:val="restart"/>
          </w:tcPr>
          <w:p>
            <w:pPr>
              <w:snapToGrid w:val="0"/>
              <w:spacing w:line="0" w:lineRule="atLeast"/>
              <w:jc w:val="left"/>
              <w:rPr>
                <w:sz w:val="22"/>
                <w:szCs w:val="22"/>
                <w:lang w:val="en-GB"/>
              </w:rPr>
            </w:pPr>
            <w:bookmarkStart w:id="13" w:name="组织名称Add1"/>
            <w:r>
              <w:rPr>
                <w:rFonts w:hint="eastAsia"/>
                <w:sz w:val="22"/>
                <w:szCs w:val="22"/>
              </w:rPr>
              <w:t>河北筑源商品混凝土有限公司</w:t>
            </w:r>
            <w:bookmarkEnd w:id="13"/>
          </w:p>
        </w:tc>
        <w:tc>
          <w:tcPr>
            <w:tcW w:w="5013" w:type="dxa"/>
            <w:gridSpan w:val="6"/>
            <w:vMerge w:val="restart"/>
          </w:tcPr>
          <w:p>
            <w:pPr>
              <w:rPr>
                <w:b w:val="0"/>
                <w:bCs w:val="0"/>
                <w:sz w:val="20"/>
              </w:rPr>
            </w:pPr>
            <w:r>
              <w:rPr>
                <w:b w:val="0"/>
                <w:bCs w:val="0"/>
                <w:sz w:val="20"/>
              </w:rPr>
              <w:t>Q：资质范围内预拌混凝土的生产</w:t>
            </w:r>
          </w:p>
          <w:p>
            <w:pPr>
              <w:rPr>
                <w:b w:val="0"/>
                <w:bCs w:val="0"/>
                <w:sz w:val="20"/>
              </w:rPr>
            </w:pPr>
            <w:r>
              <w:rPr>
                <w:b w:val="0"/>
                <w:bCs w:val="0"/>
                <w:sz w:val="20"/>
              </w:rPr>
              <w:t>E：资质范围内预拌混凝土的生产所涉及场所的相关环境管理活动</w:t>
            </w:r>
          </w:p>
          <w:p>
            <w:pPr>
              <w:snapToGrid w:val="0"/>
              <w:spacing w:line="0" w:lineRule="atLeast"/>
              <w:jc w:val="left"/>
              <w:rPr>
                <w:sz w:val="22"/>
                <w:szCs w:val="22"/>
              </w:rPr>
            </w:pPr>
            <w:r>
              <w:rPr>
                <w:b w:val="0"/>
                <w:bCs w:val="0"/>
                <w:sz w:val="20"/>
              </w:rPr>
              <w:t>O：资质范围内预拌混凝土的生产所涉及场所的相关职业健康安全管理活动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gridSpan w:val="2"/>
          </w:tcPr>
          <w:p>
            <w:pPr>
              <w:snapToGrid w:val="0"/>
              <w:spacing w:line="0" w:lineRule="atLeast"/>
              <w:jc w:val="left"/>
              <w:rPr>
                <w:sz w:val="22"/>
                <w:szCs w:val="22"/>
              </w:rPr>
            </w:pPr>
            <w:bookmarkStart w:id="14" w:name="注册地址"/>
            <w:r>
              <w:rPr>
                <w:rFonts w:hint="eastAsia"/>
                <w:sz w:val="22"/>
                <w:szCs w:val="22"/>
                <w:lang w:val="en-GB"/>
              </w:rPr>
              <w:t>河北省保定市徐水区安肃镇南张丰村</w:t>
            </w:r>
            <w:bookmarkEnd w:id="14"/>
          </w:p>
        </w:tc>
        <w:tc>
          <w:tcPr>
            <w:tcW w:w="5013" w:type="dxa"/>
            <w:gridSpan w:val="6"/>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gridSpan w:val="2"/>
          </w:tcPr>
          <w:p>
            <w:pPr>
              <w:snapToGrid w:val="0"/>
              <w:spacing w:line="0" w:lineRule="atLeast"/>
              <w:jc w:val="left"/>
              <w:rPr>
                <w:sz w:val="22"/>
                <w:szCs w:val="22"/>
              </w:rPr>
            </w:pPr>
            <w:bookmarkStart w:id="15" w:name="办公地址"/>
            <w:r>
              <w:rPr>
                <w:rFonts w:hint="eastAsia"/>
                <w:sz w:val="22"/>
                <w:szCs w:val="22"/>
                <w:lang w:val="en-GB"/>
              </w:rPr>
              <w:t>河北省保定市徐水区安肃镇南张丰村</w:t>
            </w:r>
            <w:bookmarkEnd w:id="15"/>
          </w:p>
        </w:tc>
        <w:tc>
          <w:tcPr>
            <w:tcW w:w="5013" w:type="dxa"/>
            <w:gridSpan w:val="6"/>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9"/>
            <w:shd w:val="clear" w:color="auto" w:fill="9ED3A3"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gridSpan w:val="2"/>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6"/>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gridSpan w:val="2"/>
          </w:tcPr>
          <w:p>
            <w:pPr>
              <w:snapToGrid w:val="0"/>
              <w:spacing w:line="0" w:lineRule="atLeast"/>
              <w:jc w:val="left"/>
              <w:rPr>
                <w:sz w:val="22"/>
                <w:szCs w:val="22"/>
              </w:rPr>
            </w:pPr>
            <w:r>
              <w:rPr>
                <w:rFonts w:hint="eastAsia"/>
                <w:sz w:val="22"/>
                <w:szCs w:val="22"/>
              </w:rPr>
              <w:t>Hebei Zhuyuan Commercial Concrete Co., Ltd</w:t>
            </w:r>
          </w:p>
        </w:tc>
        <w:tc>
          <w:tcPr>
            <w:tcW w:w="1337" w:type="dxa"/>
            <w:gridSpan w:val="2"/>
          </w:tcPr>
          <w:p>
            <w:pPr>
              <w:snapToGrid w:val="0"/>
              <w:spacing w:line="0" w:lineRule="atLeast"/>
              <w:jc w:val="left"/>
              <w:rPr>
                <w:sz w:val="22"/>
                <w:szCs w:val="22"/>
              </w:rPr>
            </w:pPr>
            <w:r>
              <w:rPr>
                <w:rFonts w:hint="eastAsia"/>
                <w:sz w:val="22"/>
                <w:szCs w:val="22"/>
              </w:rPr>
              <w:t>QMS</w:t>
            </w:r>
          </w:p>
        </w:tc>
        <w:tc>
          <w:tcPr>
            <w:tcW w:w="3676" w:type="dxa"/>
            <w:gridSpan w:val="4"/>
          </w:tcPr>
          <w:p>
            <w:pPr>
              <w:snapToGrid w:val="0"/>
              <w:spacing w:line="0" w:lineRule="atLeast"/>
              <w:jc w:val="left"/>
              <w:rPr>
                <w:sz w:val="21"/>
                <w:szCs w:val="16"/>
              </w:rPr>
            </w:pPr>
            <w:r>
              <w:rPr>
                <w:rFonts w:hint="eastAsia"/>
                <w:sz w:val="21"/>
                <w:szCs w:val="16"/>
              </w:rPr>
              <w:t>Production of ready mixed concrete within the scope of qualification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gridSpan w:val="2"/>
          </w:tcPr>
          <w:p>
            <w:pPr>
              <w:snapToGrid w:val="0"/>
              <w:spacing w:line="0" w:lineRule="atLeast"/>
              <w:jc w:val="left"/>
              <w:rPr>
                <w:sz w:val="22"/>
                <w:szCs w:val="22"/>
              </w:rPr>
            </w:pPr>
            <w:r>
              <w:rPr>
                <w:rFonts w:hint="eastAsia"/>
                <w:sz w:val="22"/>
                <w:szCs w:val="22"/>
              </w:rPr>
              <w:t>An Su Zhen Nan Zhang Feng Cun, Xushui District, Baoding City, Hebei Province</w:t>
            </w:r>
          </w:p>
        </w:tc>
        <w:tc>
          <w:tcPr>
            <w:tcW w:w="1337" w:type="dxa"/>
            <w:gridSpan w:val="2"/>
          </w:tcPr>
          <w:p>
            <w:pPr>
              <w:snapToGrid w:val="0"/>
              <w:spacing w:line="0" w:lineRule="atLeast"/>
              <w:jc w:val="left"/>
              <w:rPr>
                <w:sz w:val="22"/>
                <w:szCs w:val="22"/>
              </w:rPr>
            </w:pPr>
            <w:r>
              <w:rPr>
                <w:rFonts w:hint="eastAsia"/>
                <w:sz w:val="22"/>
                <w:szCs w:val="22"/>
              </w:rPr>
              <w:t>EMS</w:t>
            </w:r>
          </w:p>
        </w:tc>
        <w:tc>
          <w:tcPr>
            <w:tcW w:w="3676" w:type="dxa"/>
            <w:gridSpan w:val="4"/>
          </w:tcPr>
          <w:p>
            <w:pPr>
              <w:snapToGrid w:val="0"/>
              <w:spacing w:line="0" w:lineRule="atLeast"/>
              <w:jc w:val="left"/>
              <w:rPr>
                <w:sz w:val="22"/>
                <w:szCs w:val="22"/>
              </w:rPr>
            </w:pPr>
            <w:r>
              <w:rPr>
                <w:rFonts w:hint="eastAsia"/>
                <w:sz w:val="22"/>
                <w:szCs w:val="22"/>
              </w:rPr>
              <w:t>Relevant environmental management activities of the places involved in the production of ready mixed concrete within the scope of qualification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gridSpan w:val="2"/>
          </w:tcPr>
          <w:p>
            <w:pPr>
              <w:snapToGrid w:val="0"/>
              <w:spacing w:line="0" w:lineRule="atLeast"/>
              <w:jc w:val="left"/>
              <w:rPr>
                <w:sz w:val="22"/>
                <w:szCs w:val="22"/>
              </w:rPr>
            </w:pPr>
            <w:r>
              <w:rPr>
                <w:rFonts w:hint="eastAsia"/>
                <w:sz w:val="22"/>
                <w:szCs w:val="22"/>
              </w:rPr>
              <w:t>An Su Zhen Nan Zhang Feng Cun, Xushui District, Baoding City, Hebei Province</w:t>
            </w:r>
          </w:p>
        </w:tc>
        <w:tc>
          <w:tcPr>
            <w:tcW w:w="1337" w:type="dxa"/>
            <w:gridSpan w:val="2"/>
          </w:tcPr>
          <w:p>
            <w:pPr>
              <w:snapToGrid w:val="0"/>
              <w:spacing w:line="0" w:lineRule="atLeast"/>
              <w:jc w:val="left"/>
              <w:rPr>
                <w:sz w:val="22"/>
                <w:szCs w:val="22"/>
              </w:rPr>
            </w:pPr>
            <w:r>
              <w:rPr>
                <w:rFonts w:hint="eastAsia"/>
                <w:sz w:val="22"/>
                <w:szCs w:val="22"/>
              </w:rPr>
              <w:t>OHSMS</w:t>
            </w:r>
          </w:p>
        </w:tc>
        <w:tc>
          <w:tcPr>
            <w:tcW w:w="3676" w:type="dxa"/>
            <w:gridSpan w:val="4"/>
          </w:tcPr>
          <w:p>
            <w:pPr>
              <w:snapToGrid w:val="0"/>
              <w:spacing w:line="0" w:lineRule="atLeast"/>
              <w:jc w:val="left"/>
              <w:rPr>
                <w:sz w:val="22"/>
                <w:szCs w:val="22"/>
              </w:rPr>
            </w:pPr>
            <w:r>
              <w:rPr>
                <w:rFonts w:hint="eastAsia"/>
                <w:sz w:val="22"/>
                <w:szCs w:val="22"/>
              </w:rPr>
              <w:t>Relevant occupational health and safety management activities in the places involved in the production of ready mixed concrete within the scope of qualification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9"/>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9"/>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2490" w:type="dxa"/>
            <w:gridSpan w:val="2"/>
          </w:tcPr>
          <w:p>
            <w:pPr>
              <w:snapToGrid w:val="0"/>
              <w:spacing w:line="0" w:lineRule="atLeast"/>
              <w:jc w:val="left"/>
              <w:rPr>
                <w:rFonts w:hint="eastAsia" w:cs="Arial"/>
                <w:b/>
                <w:bCs/>
                <w:sz w:val="22"/>
                <w:szCs w:val="16"/>
              </w:rPr>
            </w:pPr>
            <w:r>
              <w:rPr>
                <w:rFonts w:hint="eastAsia" w:cs="Arial"/>
                <w:b/>
                <w:bCs/>
                <w:sz w:val="22"/>
                <w:szCs w:val="16"/>
              </w:rPr>
              <w:t>受审核方</w:t>
            </w:r>
          </w:p>
          <w:p>
            <w:pPr>
              <w:snapToGrid w:val="0"/>
              <w:spacing w:line="0" w:lineRule="atLeast"/>
              <w:jc w:val="left"/>
              <w:rPr>
                <w:rFonts w:hint="eastAsia"/>
                <w:sz w:val="22"/>
                <w:szCs w:val="18"/>
                <w:lang w:val="en-GB"/>
              </w:rPr>
            </w:pPr>
            <w:r>
              <w:rPr>
                <w:rFonts w:hint="eastAsia" w:cs="Arial"/>
                <w:b/>
                <w:bCs/>
                <w:sz w:val="22"/>
                <w:szCs w:val="16"/>
              </w:rPr>
              <w:t>签章</w:t>
            </w:r>
          </w:p>
        </w:tc>
        <w:tc>
          <w:tcPr>
            <w:tcW w:w="2490" w:type="dxa"/>
            <w:gridSpan w:val="2"/>
          </w:tcPr>
          <w:p>
            <w:pPr>
              <w:snapToGrid w:val="0"/>
              <w:spacing w:line="0" w:lineRule="atLeast"/>
              <w:jc w:val="left"/>
              <w:rPr>
                <w:rFonts w:hint="eastAsia"/>
                <w:sz w:val="22"/>
                <w:szCs w:val="18"/>
                <w:lang w:val="en-GB"/>
              </w:rPr>
            </w:pPr>
          </w:p>
        </w:tc>
        <w:tc>
          <w:tcPr>
            <w:tcW w:w="2490" w:type="dxa"/>
            <w:gridSpan w:val="3"/>
          </w:tcPr>
          <w:p>
            <w:pPr>
              <w:snapToGrid w:val="0"/>
              <w:spacing w:line="0" w:lineRule="atLeast"/>
              <w:jc w:val="left"/>
              <w:rPr>
                <w:rFonts w:hint="eastAsia"/>
                <w:sz w:val="22"/>
                <w:szCs w:val="18"/>
              </w:rPr>
            </w:pPr>
            <w:r>
              <w:rPr>
                <w:rFonts w:hint="eastAsia"/>
                <w:sz w:val="22"/>
                <w:szCs w:val="18"/>
              </w:rPr>
              <w:t>审核组长</w:t>
            </w:r>
          </w:p>
          <w:p>
            <w:pPr>
              <w:snapToGrid w:val="0"/>
              <w:spacing w:line="0" w:lineRule="atLeast"/>
              <w:jc w:val="left"/>
              <w:rPr>
                <w:rFonts w:hint="eastAsia"/>
                <w:sz w:val="22"/>
                <w:szCs w:val="18"/>
                <w:lang w:val="en-GB"/>
              </w:rPr>
            </w:pPr>
            <w:r>
              <w:rPr>
                <w:rFonts w:hint="eastAsia"/>
                <w:sz w:val="22"/>
                <w:szCs w:val="18"/>
              </w:rPr>
              <w:t>签字</w:t>
            </w:r>
          </w:p>
        </w:tc>
        <w:tc>
          <w:tcPr>
            <w:tcW w:w="2492" w:type="dxa"/>
            <w:gridSpan w:val="2"/>
          </w:tcPr>
          <w:p>
            <w:pPr>
              <w:snapToGrid w:val="0"/>
              <w:spacing w:line="0" w:lineRule="atLeast"/>
              <w:jc w:val="left"/>
              <w:rPr>
                <w:rFonts w:hint="eastAsia"/>
                <w:sz w:val="22"/>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2490" w:type="dxa"/>
            <w:gridSpan w:val="2"/>
          </w:tcPr>
          <w:p>
            <w:pPr>
              <w:snapToGrid w:val="0"/>
              <w:spacing w:line="0" w:lineRule="atLeast"/>
              <w:jc w:val="left"/>
              <w:rPr>
                <w:rFonts w:hint="eastAsia"/>
                <w:lang w:val="en-GB"/>
              </w:rPr>
            </w:pPr>
          </w:p>
          <w:p>
            <w:pPr>
              <w:pStyle w:val="2"/>
              <w:rPr>
                <w:rFonts w:hint="eastAsia" w:eastAsia="宋体"/>
                <w:lang w:val="en-US" w:eastAsia="zh-CN"/>
              </w:rPr>
            </w:pPr>
            <w:r>
              <w:rPr>
                <w:rFonts w:hint="eastAsia"/>
                <w:sz w:val="22"/>
                <w:szCs w:val="18"/>
                <w:lang w:val="en-US" w:eastAsia="zh-CN"/>
              </w:rPr>
              <w:t>日期</w:t>
            </w:r>
          </w:p>
        </w:tc>
        <w:tc>
          <w:tcPr>
            <w:tcW w:w="2490" w:type="dxa"/>
            <w:gridSpan w:val="2"/>
          </w:tcPr>
          <w:p>
            <w:pPr>
              <w:snapToGrid w:val="0"/>
              <w:spacing w:line="0" w:lineRule="atLeast"/>
              <w:jc w:val="left"/>
              <w:rPr>
                <w:rFonts w:hint="eastAsia"/>
                <w:sz w:val="22"/>
                <w:szCs w:val="18"/>
                <w:lang w:val="en-GB"/>
              </w:rPr>
            </w:pPr>
          </w:p>
        </w:tc>
        <w:tc>
          <w:tcPr>
            <w:tcW w:w="2490" w:type="dxa"/>
            <w:gridSpan w:val="3"/>
          </w:tcPr>
          <w:p>
            <w:pPr>
              <w:snapToGrid w:val="0"/>
              <w:spacing w:line="0" w:lineRule="atLeast"/>
              <w:jc w:val="left"/>
              <w:rPr>
                <w:rFonts w:hint="eastAsia"/>
                <w:lang w:val="en-GB"/>
              </w:rPr>
            </w:pPr>
          </w:p>
          <w:p>
            <w:pPr>
              <w:pStyle w:val="2"/>
              <w:rPr>
                <w:rFonts w:hint="eastAsia" w:eastAsia="宋体"/>
                <w:lang w:val="en-US" w:eastAsia="zh-CN"/>
              </w:rPr>
            </w:pPr>
            <w:r>
              <w:rPr>
                <w:rFonts w:hint="eastAsia"/>
                <w:sz w:val="22"/>
                <w:szCs w:val="18"/>
                <w:lang w:val="en-US" w:eastAsia="zh-CN"/>
              </w:rPr>
              <w:t>日期</w:t>
            </w:r>
          </w:p>
        </w:tc>
        <w:tc>
          <w:tcPr>
            <w:tcW w:w="2492" w:type="dxa"/>
            <w:gridSpan w:val="2"/>
          </w:tcPr>
          <w:p>
            <w:pPr>
              <w:snapToGrid w:val="0"/>
              <w:spacing w:line="0" w:lineRule="atLeast"/>
              <w:jc w:val="left"/>
              <w:rPr>
                <w:rFonts w:hint="eastAsia"/>
                <w:sz w:val="22"/>
                <w:szCs w:val="18"/>
                <w:lang w:val="en-GB"/>
              </w:rPr>
            </w:pPr>
          </w:p>
        </w:tc>
      </w:tr>
    </w:tbl>
    <w:p>
      <w:pPr>
        <w:snapToGrid w:val="0"/>
        <w:spacing w:line="0" w:lineRule="atLeast"/>
        <w:jc w:val="center"/>
        <w:rPr>
          <w:szCs w:val="24"/>
        </w:rPr>
      </w:pPr>
    </w:p>
    <w:p>
      <w:pPr>
        <w:pStyle w:val="3"/>
        <w:spacing w:line="0" w:lineRule="atLeast"/>
        <w:ind w:firstLine="0"/>
        <w:rPr>
          <w:b/>
          <w:color w:val="000000" w:themeColor="text1"/>
          <w:sz w:val="18"/>
          <w:szCs w:val="18"/>
          <w:lang w:val="en-GB"/>
        </w:rPr>
      </w:pPr>
    </w:p>
    <w:p>
      <w:pPr>
        <w:pStyle w:val="3"/>
        <w:spacing w:line="0" w:lineRule="atLeast"/>
        <w:ind w:firstLine="0"/>
        <w:rPr>
          <w:b/>
          <w:color w:val="000000" w:themeColor="text1"/>
          <w:sz w:val="18"/>
          <w:szCs w:val="18"/>
          <w:lang w:val="en-GB"/>
        </w:rPr>
      </w:pPr>
    </w:p>
    <w:p>
      <w:pPr>
        <w:pStyle w:val="3"/>
        <w:spacing w:line="0" w:lineRule="atLeast"/>
        <w:ind w:firstLine="0"/>
        <w:rPr>
          <w:b/>
          <w:color w:val="000000" w:themeColor="text1"/>
          <w:sz w:val="18"/>
          <w:szCs w:val="18"/>
          <w:lang w:val="en-GB"/>
        </w:rPr>
      </w:pPr>
    </w:p>
    <w:p>
      <w:pPr>
        <w:pStyle w:val="3"/>
        <w:spacing w:line="0" w:lineRule="atLeast"/>
        <w:ind w:firstLine="0"/>
        <w:rPr>
          <w:b/>
          <w:color w:val="000000" w:themeColor="text1"/>
          <w:sz w:val="18"/>
          <w:szCs w:val="18"/>
          <w:lang w:val="en-GB"/>
        </w:rPr>
      </w:pPr>
    </w:p>
    <w:p>
      <w:pPr>
        <w:pStyle w:val="3"/>
        <w:spacing w:line="0" w:lineRule="atLeast"/>
        <w:ind w:firstLine="0"/>
        <w:rPr>
          <w:b/>
          <w:color w:val="000000" w:themeColor="text1"/>
          <w:sz w:val="18"/>
          <w:szCs w:val="18"/>
          <w:lang w:val="en-GB"/>
        </w:rPr>
      </w:pPr>
    </w:p>
    <w:p>
      <w:pPr>
        <w:pStyle w:val="3"/>
        <w:spacing w:line="0" w:lineRule="atLeast"/>
        <w:ind w:firstLine="0"/>
        <w:rPr>
          <w:b/>
          <w:color w:val="000000" w:themeColor="text1"/>
          <w:sz w:val="18"/>
          <w:szCs w:val="18"/>
          <w:lang w:val="en-GB"/>
        </w:rPr>
      </w:pPr>
    </w:p>
    <w:p>
      <w:pPr>
        <w:pStyle w:val="3"/>
        <w:spacing w:line="0" w:lineRule="atLeast"/>
        <w:ind w:firstLine="0"/>
        <w:rPr>
          <w:b/>
          <w:color w:val="000000" w:themeColor="text1"/>
          <w:sz w:val="18"/>
          <w:szCs w:val="18"/>
          <w:lang w:val="en-GB"/>
        </w:rPr>
      </w:pPr>
    </w:p>
    <w:p>
      <w:pPr>
        <w:pStyle w:val="3"/>
        <w:spacing w:line="0" w:lineRule="atLeast"/>
        <w:ind w:firstLine="0"/>
        <w:rPr>
          <w:b/>
          <w:color w:val="000000" w:themeColor="text1"/>
          <w:sz w:val="18"/>
          <w:szCs w:val="18"/>
          <w:lang w:val="en-GB"/>
        </w:rPr>
      </w:pPr>
    </w:p>
    <w:p>
      <w:pPr>
        <w:pStyle w:val="3"/>
        <w:spacing w:line="0" w:lineRule="atLeast"/>
        <w:ind w:firstLine="0"/>
        <w:rPr>
          <w:b/>
          <w:color w:val="000000" w:themeColor="text1"/>
          <w:sz w:val="18"/>
          <w:szCs w:val="18"/>
          <w:lang w:val="en-GB"/>
        </w:rPr>
      </w:pPr>
    </w:p>
    <w:p>
      <w:pPr>
        <w:pStyle w:val="3"/>
        <w:spacing w:line="0" w:lineRule="atLeast"/>
        <w:ind w:firstLine="0"/>
        <w:rPr>
          <w:b/>
          <w:color w:val="000000" w:themeColor="text1"/>
          <w:sz w:val="18"/>
          <w:szCs w:val="18"/>
          <w:lang w:val="en-GB"/>
        </w:rPr>
      </w:pPr>
    </w:p>
    <w:p>
      <w:pPr>
        <w:pStyle w:val="3"/>
        <w:spacing w:line="0" w:lineRule="atLeast"/>
        <w:ind w:firstLine="0"/>
        <w:rPr>
          <w:rFonts w:hint="eastAsia" w:eastAsia="宋体"/>
          <w:b/>
          <w:color w:val="000000" w:themeColor="text1"/>
          <w:sz w:val="18"/>
          <w:szCs w:val="18"/>
          <w:lang w:val="en-GB" w:eastAsia="zh-CN"/>
        </w:rPr>
      </w:pPr>
      <w:r>
        <w:rPr>
          <w:rFonts w:hint="eastAsia" w:eastAsia="宋体"/>
          <w:b/>
          <w:color w:val="000000" w:themeColor="text1"/>
          <w:sz w:val="18"/>
          <w:szCs w:val="18"/>
          <w:lang w:val="en-GB" w:eastAsia="zh-CN"/>
        </w:rPr>
        <w:drawing>
          <wp:inline distT="0" distB="0" distL="114300" distR="114300">
            <wp:extent cx="6086475" cy="8848090"/>
            <wp:effectExtent l="0" t="0" r="9525" b="3810"/>
            <wp:docPr id="1" name="图片 1" descr="新文档 2022-04-18 09.28.40_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4-18 09.28.40_17"/>
                    <pic:cNvPicPr>
                      <a:picLocks noChangeAspect="1"/>
                    </pic:cNvPicPr>
                  </pic:nvPicPr>
                  <pic:blipFill>
                    <a:blip r:embed="rId5"/>
                    <a:stretch>
                      <a:fillRect/>
                    </a:stretch>
                  </pic:blipFill>
                  <pic:spPr>
                    <a:xfrm>
                      <a:off x="0" y="0"/>
                      <a:ext cx="6086475" cy="8848090"/>
                    </a:xfrm>
                    <a:prstGeom prst="rect">
                      <a:avLst/>
                    </a:prstGeom>
                  </pic:spPr>
                </pic:pic>
              </a:graphicData>
            </a:graphic>
          </wp:inline>
        </w:drawing>
      </w:r>
      <w:bookmarkStart w:id="16" w:name="_GoBack"/>
      <w:bookmarkEnd w:id="16"/>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single" w:color="auto" w:sz="4" w:space="1"/>
      </w:pBdr>
      <w:spacing w:line="320" w:lineRule="exact"/>
      <w:ind w:firstLine="756" w:firstLineChars="400"/>
      <w:jc w:val="left"/>
    </w:pPr>
    <w:r>
      <w:rPr>
        <w:rStyle w:val="12"/>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D185D86"/>
    <w:rsid w:val="44FC0F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link w:val="9"/>
    <w:qFormat/>
    <w:uiPriority w:val="0"/>
    <w:pPr>
      <w:snapToGrid w:val="0"/>
      <w:spacing w:line="336" w:lineRule="auto"/>
      <w:ind w:firstLine="630"/>
    </w:pPr>
    <w:rPr>
      <w:sz w:val="32"/>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正文文本缩进 Char"/>
    <w:basedOn w:val="8"/>
    <w:link w:val="3"/>
    <w:qFormat/>
    <w:uiPriority w:val="0"/>
    <w:rPr>
      <w:rFonts w:ascii="Times New Roman" w:hAnsi="Times New Roman" w:eastAsia="宋体" w:cs="Times New Roman"/>
      <w:sz w:val="32"/>
      <w:szCs w:val="20"/>
    </w:r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apple-converted-space"/>
    <w:basedOn w:val="8"/>
    <w:qFormat/>
    <w:uiPriority w:val="0"/>
  </w:style>
  <w:style w:type="paragraph" w:customStyle="1" w:styleId="14">
    <w:name w:val="Body 9pt Bold"/>
    <w:basedOn w:val="1"/>
    <w:qFormat/>
    <w:uiPriority w:val="0"/>
    <w:pPr>
      <w:ind w:left="170"/>
    </w:pPr>
    <w:rPr>
      <w:b/>
      <w:sz w:val="18"/>
    </w:rPr>
  </w:style>
  <w:style w:type="paragraph" w:customStyle="1" w:styleId="15">
    <w:name w:val="Body 8pt Feeder"/>
    <w:basedOn w:val="1"/>
    <w:next w:val="1"/>
    <w:qFormat/>
    <w:uiPriority w:val="0"/>
    <w:pPr>
      <w:spacing w:before="40" w:after="40"/>
      <w:ind w:left="284" w:right="284"/>
    </w:pPr>
    <w:rPr>
      <w:sz w:val="16"/>
    </w:rPr>
  </w:style>
  <w:style w:type="paragraph" w:customStyle="1" w:styleId="16">
    <w:name w:val="Body 7pt"/>
    <w:basedOn w:val="1"/>
    <w:qFormat/>
    <w:uiPriority w:val="0"/>
    <w:pPr>
      <w:spacing w:before="40" w:after="40"/>
      <w:jc w:val="left"/>
    </w:pPr>
    <w:rPr>
      <w:sz w:val="14"/>
    </w:rPr>
  </w:style>
  <w:style w:type="paragraph" w:customStyle="1" w:styleId="17">
    <w:name w:val="Body 9pt"/>
    <w:basedOn w:val="1"/>
    <w:qFormat/>
    <w:uiPriority w:val="0"/>
    <w:pPr>
      <w:spacing w:before="40" w:after="40"/>
    </w:pPr>
    <w:rPr>
      <w:sz w:val="18"/>
    </w:rPr>
  </w:style>
  <w:style w:type="paragraph" w:customStyle="1" w:styleId="18">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0</TotalTime>
  <ScaleCrop>false</ScaleCrop>
  <LinksUpToDate>false</LinksUpToDate>
  <CharactersWithSpaces>2588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2022-04-19T08:32:09Z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2052-11.1.0.11636</vt:lpwstr>
  </property>
  <property fmtid="{D5CDD505-2E9C-101B-9397-08002B2CF9AE}" pid="4" name="commondata">
    <vt:lpwstr>eyJoZGlkIjoiM2Y3MmNiNTA4Y2RiYTNkMzhmODU1Yjg5OTYxMzY5NzMifQ==</vt:lpwstr>
  </property>
</Properties>
</file>