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0267-2022-QEO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河北筑源商品混凝土有限公司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ascii="Times New Roman" w:hAnsi="Times New Roman" w:eastAsia="宋体" w:cs="Times New Roman"/>
                <w:kern w:val="2"/>
                <w:sz w:val="21"/>
                <w:szCs w:val="24"/>
                <w:lang w:val="en-US" w:eastAsia="zh-CN" w:bidi="ar-SA"/>
              </w:rPr>
            </w:pPr>
            <w:r>
              <w:t>河北筑源商品混凝土有限公司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河北省保定市徐水区安肃镇南张丰村</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072550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河北省保定市徐水区安肃镇南张丰村</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072550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宋占国</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18833221178</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杨博文</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宋占国</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w:t>
            </w:r>
            <w:r>
              <w:rPr>
                <w:rFonts w:hint="eastAsia"/>
                <w:lang w:eastAsia="zh-CN"/>
              </w:rPr>
              <w:t>☑</w:t>
            </w:r>
            <w:r>
              <w:rPr>
                <w:rFonts w:hint="eastAsia"/>
              </w:rPr>
              <w:t>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ascii="楷体" w:hAnsi="楷体" w:eastAsia="楷体"/>
              </w:rPr>
              <w:t>原材料检验、储备--根据配合比配料--电脑控制自动计量--自动控制投料--强制搅拌机搅拌--出料、检验合格混凝土出厂--混凝土搅拌运输（外包）--混凝土泵车泵送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6" w:name="审核日期"/>
            <w:r>
              <w:rPr>
                <w:rFonts w:hint="eastAsia"/>
              </w:rPr>
              <w:t>2022年04月1</w:t>
            </w:r>
            <w:r>
              <w:rPr>
                <w:rFonts w:hint="eastAsia"/>
                <w:lang w:val="en-US" w:eastAsia="zh-CN"/>
              </w:rPr>
              <w:t>6</w:t>
            </w:r>
            <w:r>
              <w:rPr>
                <w:rFonts w:hint="eastAsia"/>
              </w:rPr>
              <w:t>日 下午至2022年04月1</w:t>
            </w:r>
            <w:r>
              <w:rPr>
                <w:rFonts w:hint="eastAsia"/>
                <w:lang w:val="en-US" w:eastAsia="zh-CN"/>
              </w:rPr>
              <w:t>8</w:t>
            </w:r>
            <w:r>
              <w:rPr>
                <w:rFonts w:hint="eastAsia"/>
              </w:rPr>
              <w:t>日 上午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7" w:name="初审"/>
            <w:r>
              <w:rPr>
                <w:rFonts w:hint="eastAsia"/>
              </w:rPr>
              <w:t>■</w:t>
            </w:r>
            <w:bookmarkEnd w:id="7"/>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5" w:name="二阶段勾选"/>
            <w:r>
              <w:rPr>
                <w:rFonts w:hint="eastAsia"/>
              </w:rPr>
              <w:t>■</w:t>
            </w:r>
            <w:bookmarkEnd w:id="15"/>
            <w:r>
              <w:rPr>
                <w:rFonts w:hint="eastAsia"/>
              </w:rPr>
              <w:t>初审二阶段</w:t>
            </w:r>
            <w:bookmarkStart w:id="16" w:name="监督勾选Add1"/>
            <w:r>
              <w:rPr>
                <w:rFonts w:hint="eastAsia"/>
              </w:rPr>
              <w:t>□</w:t>
            </w:r>
            <w:bookmarkEnd w:id="16"/>
            <w:r>
              <w:rPr>
                <w:rFonts w:hint="eastAsia"/>
              </w:rPr>
              <w:t>监督第</w:t>
            </w:r>
            <w:bookmarkStart w:id="17" w:name="监督次数"/>
            <w:bookmarkEnd w:id="17"/>
            <w:r>
              <w:rPr>
                <w:rFonts w:hint="eastAsia"/>
              </w:rPr>
              <w:t>次监督审核</w:t>
            </w:r>
            <w:bookmarkStart w:id="18" w:name="再认证勾选"/>
            <w:r>
              <w:rPr>
                <w:rFonts w:hint="eastAsia"/>
              </w:rPr>
              <w:t>□</w:t>
            </w:r>
            <w:bookmarkEnd w:id="18"/>
            <w:r>
              <w:rPr>
                <w:rFonts w:hint="eastAsia"/>
              </w:rPr>
              <w:t>再认证</w:t>
            </w:r>
            <w:bookmarkStart w:id="19" w:name="扩项勾选Add1"/>
            <w:r>
              <w:rPr>
                <w:rFonts w:hint="eastAsia"/>
              </w:rPr>
              <w:t>□</w:t>
            </w:r>
            <w:bookmarkEnd w:id="19"/>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bookmarkStart w:id="20" w:name="生产地址"/>
            <w:r>
              <w:rPr>
                <w:rFonts w:asciiTheme="minorEastAsia" w:hAnsiTheme="minorEastAsia" w:eastAsiaTheme="minorEastAsia"/>
                <w:sz w:val="20"/>
              </w:rPr>
              <w:t>河北省保定市徐水区安肃镇南张丰村</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b w:val="0"/>
                <w:bCs w:val="0"/>
                <w:sz w:val="20"/>
              </w:rPr>
            </w:pPr>
            <w:r>
              <w:rPr>
                <w:b w:val="0"/>
                <w:bCs w:val="0"/>
                <w:sz w:val="20"/>
              </w:rPr>
              <w:t>Q：资质范围内预拌混凝土的生产</w:t>
            </w:r>
          </w:p>
          <w:p>
            <w:pPr>
              <w:rPr>
                <w:b w:val="0"/>
                <w:bCs w:val="0"/>
                <w:sz w:val="20"/>
              </w:rPr>
            </w:pPr>
            <w:r>
              <w:rPr>
                <w:b w:val="0"/>
                <w:bCs w:val="0"/>
                <w:sz w:val="20"/>
              </w:rPr>
              <w:t>E：资质范围内预拌混凝土的生产所涉及场所的相关环境管理活动</w:t>
            </w:r>
          </w:p>
          <w:p>
            <w:r>
              <w:rPr>
                <w:b w:val="0"/>
                <w:bCs w:val="0"/>
                <w:sz w:val="20"/>
              </w:rPr>
              <w:t>O：资质范围内预拌混凝土的生产所涉及场所的相关职业健康安全管理活动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jc w:val="left"/>
              <w:rPr>
                <w:sz w:val="20"/>
              </w:rPr>
            </w:pPr>
            <w:bookmarkStart w:id="21" w:name="专业代码"/>
            <w:r>
              <w:rPr>
                <w:sz w:val="20"/>
              </w:rPr>
              <w:t>Q：16.02.03</w:t>
            </w:r>
          </w:p>
          <w:p>
            <w:pPr>
              <w:jc w:val="left"/>
              <w:rPr>
                <w:sz w:val="20"/>
              </w:rPr>
            </w:pPr>
            <w:r>
              <w:rPr>
                <w:sz w:val="20"/>
              </w:rPr>
              <w:t>E：16.02.03</w:t>
            </w:r>
          </w:p>
          <w:p>
            <w:r>
              <w:rPr>
                <w:sz w:val="20"/>
              </w:rPr>
              <w:t>O：16.02.03</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98"/>
        <w:gridCol w:w="1719"/>
        <w:gridCol w:w="618"/>
        <w:gridCol w:w="1918"/>
        <w:gridCol w:w="18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noWrap w:val="0"/>
            <w:tcMar>
              <w:left w:w="57" w:type="dxa"/>
              <w:right w:w="57" w:type="dxa"/>
            </w:tcMar>
            <w:vAlign w:val="top"/>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2498" w:type="dxa"/>
            <w:shd w:val="clear" w:color="auto" w:fill="F3F3F3"/>
            <w:noWrap w:val="0"/>
            <w:tcMar>
              <w:left w:w="57" w:type="dxa"/>
              <w:right w:w="57" w:type="dxa"/>
            </w:tcMar>
            <w:vAlign w:val="top"/>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19" w:type="dxa"/>
            <w:shd w:val="clear" w:color="auto" w:fill="F3F3F3"/>
            <w:noWrap w:val="0"/>
            <w:tcMar>
              <w:left w:w="57" w:type="dxa"/>
              <w:right w:w="57" w:type="dxa"/>
            </w:tcMar>
            <w:vAlign w:val="top"/>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618" w:type="dxa"/>
            <w:shd w:val="clear" w:color="auto" w:fill="F3F3F3"/>
            <w:noWrap w:val="0"/>
            <w:tcMar>
              <w:left w:w="57" w:type="dxa"/>
              <w:right w:w="57" w:type="dxa"/>
            </w:tcMar>
            <w:vAlign w:val="top"/>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1918" w:type="dxa"/>
            <w:shd w:val="clear" w:color="auto" w:fill="F3F3F3"/>
            <w:noWrap w:val="0"/>
            <w:tcMar>
              <w:left w:w="57" w:type="dxa"/>
              <w:right w:w="57" w:type="dxa"/>
            </w:tcMar>
            <w:vAlign w:val="top"/>
          </w:tcPr>
          <w:p>
            <w:pPr>
              <w:pStyle w:val="19"/>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824" w:type="dxa"/>
            <w:shd w:val="clear" w:color="auto" w:fill="F3F3F3"/>
            <w:noWrap w:val="0"/>
            <w:tcMar>
              <w:left w:w="57" w:type="dxa"/>
              <w:right w:w="57" w:type="dxa"/>
            </w:tcMar>
            <w:vAlign w:val="top"/>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noWrap w:val="0"/>
            <w:tcMar>
              <w:left w:w="57" w:type="dxa"/>
              <w:right w:w="57" w:type="dxa"/>
            </w:tcMar>
            <w:vAlign w:val="top"/>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shd w:val="clear" w:color="auto" w:fill="auto"/>
            <w:noWrap w:val="0"/>
            <w:vAlign w:val="center"/>
          </w:tcPr>
          <w:p>
            <w:pPr>
              <w:spacing w:before="40" w:after="40"/>
              <w:rPr>
                <w:rFonts w:eastAsia="黑体"/>
                <w:szCs w:val="21"/>
                <w:lang w:eastAsia="ja-JP"/>
              </w:rPr>
            </w:pPr>
            <w:r>
              <w:rPr>
                <w:rFonts w:eastAsia="黑体"/>
                <w:szCs w:val="21"/>
                <w:lang w:eastAsia="ja-JP"/>
              </w:rPr>
              <w:t>01</w:t>
            </w:r>
          </w:p>
        </w:tc>
        <w:tc>
          <w:tcPr>
            <w:tcW w:w="2498" w:type="dxa"/>
            <w:shd w:val="clear" w:color="auto" w:fill="auto"/>
            <w:noWrap w:val="0"/>
            <w:vAlign w:val="top"/>
          </w:tcPr>
          <w:p>
            <w:pPr>
              <w:spacing w:before="40" w:after="40"/>
              <w:rPr>
                <w:rFonts w:eastAsia="黑体"/>
                <w:szCs w:val="21"/>
                <w:lang w:val="de-DE" w:eastAsia="ja-JP"/>
              </w:rPr>
            </w:pPr>
            <w:r>
              <w:rPr>
                <w:rFonts w:hint="eastAsia" w:eastAsia="黑体"/>
                <w:szCs w:val="21"/>
                <w:lang w:val="de-DE" w:eastAsia="ja-JP"/>
              </w:rPr>
              <w:t>河北筑源商品混凝土有限公司</w:t>
            </w:r>
            <w:r>
              <w:rPr>
                <w:rFonts w:hint="eastAsia" w:eastAsia="黑体"/>
                <w:szCs w:val="21"/>
                <w:lang w:val="en-US" w:eastAsia="zh-CN"/>
              </w:rPr>
              <w:t>/</w:t>
            </w:r>
            <w:r>
              <w:rPr>
                <w:rFonts w:hint="eastAsia" w:eastAsia="黑体"/>
                <w:szCs w:val="21"/>
                <w:lang w:val="de-DE" w:eastAsia="ja-JP"/>
              </w:rPr>
              <w:t>河北省保定市徐水区安肃镇南张丰村</w:t>
            </w:r>
          </w:p>
        </w:tc>
        <w:tc>
          <w:tcPr>
            <w:tcW w:w="1719" w:type="dxa"/>
            <w:shd w:val="clear" w:color="auto" w:fill="auto"/>
            <w:noWrap w:val="0"/>
            <w:vAlign w:val="top"/>
          </w:tcPr>
          <w:p>
            <w:pPr>
              <w:spacing w:before="40" w:after="40"/>
              <w:rPr>
                <w:rFonts w:eastAsia="黑体"/>
                <w:szCs w:val="21"/>
                <w:lang w:val="de-DE" w:eastAsia="ja-JP"/>
              </w:rPr>
            </w:pPr>
            <w:r>
              <w:rPr>
                <w:rFonts w:hint="eastAsia" w:eastAsia="黑体"/>
                <w:szCs w:val="21"/>
                <w:lang w:val="de-DE" w:eastAsia="ja-JP"/>
              </w:rPr>
              <w:t>河北省保定市徐水区安肃镇南张丰村</w:t>
            </w:r>
          </w:p>
        </w:tc>
        <w:tc>
          <w:tcPr>
            <w:tcW w:w="618" w:type="dxa"/>
            <w:shd w:val="clear" w:color="auto" w:fill="auto"/>
            <w:noWrap w:val="0"/>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1918" w:type="dxa"/>
            <w:shd w:val="clear" w:color="auto" w:fill="auto"/>
            <w:noWrap w:val="0"/>
            <w:vAlign w:val="center"/>
          </w:tcPr>
          <w:p>
            <w:pPr>
              <w:pStyle w:val="20"/>
              <w:rPr>
                <w:rFonts w:hint="eastAsia" w:eastAsia="黑体" w:cs="Arial"/>
                <w:sz w:val="21"/>
                <w:szCs w:val="21"/>
                <w:lang w:val="en-US" w:eastAsia="zh-CN"/>
              </w:rPr>
            </w:pPr>
            <w:r>
              <w:rPr>
                <w:sz w:val="21"/>
                <w:szCs w:val="21"/>
              </w:rPr>
              <w:t>商品混凝土的生产</w:t>
            </w:r>
          </w:p>
        </w:tc>
        <w:tc>
          <w:tcPr>
            <w:tcW w:w="1824" w:type="dxa"/>
            <w:shd w:val="clear" w:color="auto" w:fill="auto"/>
            <w:noWrap w:val="0"/>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tc>
          <w:tcPr>
            <w:tcW w:w="668" w:type="dxa"/>
            <w:shd w:val="clear" w:color="auto" w:fill="FFFFFF"/>
            <w:noWrap w:val="0"/>
            <w:vAlign w:val="top"/>
          </w:tcPr>
          <w:p>
            <w:pPr>
              <w:rPr>
                <w:rFonts w:eastAsia="黑体"/>
                <w:szCs w:val="21"/>
              </w:rPr>
            </w:pPr>
            <w:r>
              <w:rPr>
                <w:rFonts w:hint="default" w:ascii="Arial" w:hAnsi="Arial" w:eastAsia="黑体" w:cs="Arial"/>
                <w:szCs w:val="21"/>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2179" w:type="dxa"/>
            <w:vAlign w:val="center"/>
          </w:tcPr>
          <w:p>
            <w:r>
              <w:t>Q:16.02.03</w:t>
            </w:r>
          </w:p>
          <w:p>
            <w:r>
              <w:t>E:16.02.03</w:t>
            </w:r>
          </w:p>
          <w:p>
            <w:pPr>
              <w:rPr>
                <w:rFonts w:ascii="Times New Roman" w:hAnsi="Times New Roman" w:eastAsia="宋体" w:cs="Times New Roman"/>
                <w:kern w:val="2"/>
                <w:sz w:val="21"/>
                <w:szCs w:val="24"/>
                <w:lang w:val="en-US" w:eastAsia="zh-CN" w:bidi="ar-SA"/>
              </w:rPr>
            </w:pPr>
            <w:r>
              <w:t>O:16.02.03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周文廷</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r>
              <w:t>2019-N1QMS-1244880</w:t>
            </w:r>
          </w:p>
          <w:p>
            <w:pPr>
              <w:rPr>
                <w:rFonts w:ascii="Times New Roman" w:hAnsi="Times New Roman" w:eastAsia="宋体" w:cs="Times New Roman"/>
                <w:kern w:val="2"/>
                <w:sz w:val="21"/>
                <w:szCs w:val="24"/>
                <w:lang w:val="en-US" w:eastAsia="zh-CN" w:bidi="ar-SA"/>
              </w:rPr>
            </w:pPr>
            <w:r>
              <w:t>2021-N1EMS-1244880</w:t>
            </w:r>
          </w:p>
        </w:tc>
        <w:tc>
          <w:tcPr>
            <w:tcW w:w="2179" w:type="dxa"/>
            <w:vAlign w:val="center"/>
          </w:tcPr>
          <w:p>
            <w:pPr>
              <w:rPr>
                <w:rFonts w:ascii="Times New Roman" w:hAnsi="Times New Roman" w:eastAsia="宋体" w:cs="Times New Roman"/>
                <w:kern w:val="2"/>
                <w:sz w:val="21"/>
                <w:szCs w:val="24"/>
                <w:lang w:val="en-US" w:eastAsia="zh-CN" w:bidi="ar-SA"/>
              </w:rPr>
            </w:pPr>
            <w:r>
              <w:t>Q:16.02.03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杨园</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2021-N1QMS-1215052</w:t>
            </w:r>
          </w:p>
          <w:p>
            <w:r>
              <w:t>2022-N1EMS-1215052</w:t>
            </w:r>
          </w:p>
          <w:p>
            <w:pPr>
              <w:rPr>
                <w:rFonts w:ascii="Times New Roman" w:hAnsi="Times New Roman" w:eastAsia="宋体" w:cs="Times New Roman"/>
                <w:kern w:val="2"/>
                <w:sz w:val="21"/>
                <w:szCs w:val="24"/>
                <w:lang w:val="en-US" w:eastAsia="zh-CN" w:bidi="ar-SA"/>
              </w:rPr>
            </w:pPr>
            <w:r>
              <w:t>2022-N1OHSMS-1215052</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一阶段变更了认证范围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一阶段问题已改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b w:val="0"/>
                <w:bCs w:val="0"/>
                <w:sz w:val="20"/>
              </w:rPr>
              <w:t>资质范围内预拌混凝土的生产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b w:val="0"/>
                <w:bCs w:val="0"/>
                <w:sz w:val="20"/>
              </w:rPr>
              <w:t>资质范围内预拌混凝土的生产所涉及场所的相关环境管理活动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b w:val="0"/>
                <w:bCs w:val="0"/>
                <w:sz w:val="20"/>
              </w:rPr>
              <w:t>资质范围内预拌混凝土的生产所涉及场所的相关职业健康安全管理活动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38100</wp:posOffset>
                  </wp:positionH>
                  <wp:positionV relativeFrom="paragraph">
                    <wp:posOffset>211455</wp:posOffset>
                  </wp:positionV>
                  <wp:extent cx="909955" cy="43815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09955" cy="438150"/>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2022年4月18日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cs="Times New Roman"/>
              </w:rPr>
            </w:pPr>
            <w:r>
              <w:rPr>
                <w:rFonts w:hint="eastAsia" w:ascii="Times New Roman" w:hAnsi="Times New Roman" w:cs="Times New Roman"/>
              </w:rPr>
              <w:t>最高管理者制定了文件化的管理体系方针：</w:t>
            </w:r>
          </w:p>
          <w:p>
            <w:pPr>
              <w:shd w:val="clear" w:color="auto" w:fill="C7DAF1" w:themeFill="text2" w:themeFillTint="32"/>
              <w:rPr>
                <w:rFonts w:hint="eastAsia" w:ascii="Times New Roman" w:hAnsi="Times New Roman" w:eastAsia="宋体" w:cs="Times New Roman"/>
                <w:sz w:val="21"/>
                <w:szCs w:val="21"/>
                <w:lang w:val="zh-CN"/>
              </w:rPr>
            </w:pPr>
            <w:r>
              <w:rPr>
                <w:rFonts w:hint="eastAsia" w:ascii="Times New Roman" w:hAnsi="Times New Roman" w:eastAsia="宋体" w:cs="Times New Roman"/>
                <w:sz w:val="21"/>
                <w:szCs w:val="21"/>
                <w:lang w:val="zh-CN"/>
              </w:rPr>
              <w:t>质量第一，用户至上，诚信为本，信誉至上，不断创新，以更优的产品满足顾客需求</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rPr>
                <w:rFonts w:hint="eastAsia" w:eastAsia="宋体"/>
                <w:b/>
                <w:bCs/>
                <w:lang w:val="en-US" w:eastAsia="zh-CN"/>
              </w:rPr>
            </w:pPr>
            <w:r>
              <w:rPr>
                <w:rFonts w:hint="eastAsia"/>
              </w:rPr>
              <w:t>QMS的主管部门是——</w:t>
            </w:r>
            <w:r>
              <w:rPr>
                <w:rFonts w:hint="eastAsia"/>
                <w:lang w:val="en-US" w:eastAsia="zh-CN"/>
              </w:rPr>
              <w:t>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整体经济环境不佳；资源：公司现有环境、人员、设备管理不善；市场：客户行业具有固定性消费，新客户开发困难等</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整体经济环境不佳；资源：公司现有环境、人员、设备管理不善；市场：客户行业具有固定性消费，新客户开发困难</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原公司人员配置和岗位设置不合理产品质量不达标；全员参与质量管理制度落实等</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对人员和部门进行了调整；公司制定年度培训计划，按照标准要求全员参加质量管理，所有人员上岗前均应进行培训</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设备产能不足。设备能力不足。设备经常损坏，影响服务进度。</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设备的保养及备件储备。建立完整的设备故障应急预案，以确保服务过程的持续流畅</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316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6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一次交付合格率100%</w:t>
                  </w:r>
                </w:p>
              </w:tc>
              <w:tc>
                <w:tcPr>
                  <w:tcW w:w="3163"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一次合格数量/总生产产品数量*100%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生产部</w:t>
                  </w:r>
                </w:p>
              </w:tc>
              <w:tc>
                <w:tcPr>
                  <w:tcW w:w="1774"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客户满意率≥95%</w:t>
                  </w:r>
                </w:p>
              </w:tc>
              <w:tc>
                <w:tcPr>
                  <w:tcW w:w="3163" w:type="dxa"/>
                  <w:shd w:val="clear" w:color="auto" w:fill="auto"/>
                  <w:vAlign w:val="top"/>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满意度测试分数/测试总分数*100%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cs="Times New Roman"/>
                      <w:sz w:val="18"/>
                      <w:szCs w:val="18"/>
                      <w:lang w:val="en-US" w:eastAsia="zh-CN"/>
                    </w:rPr>
                    <w:t>综合部</w:t>
                  </w:r>
                </w:p>
              </w:tc>
              <w:tc>
                <w:tcPr>
                  <w:tcW w:w="1774" w:type="dxa"/>
                  <w:shd w:val="clear" w:color="auto" w:fill="auto"/>
                  <w:vAlign w:val="top"/>
                </w:tcPr>
                <w:p>
                  <w:pPr>
                    <w:rPr>
                      <w:rFonts w:hint="eastAsia" w:ascii="Times New Roman" w:hAnsi="Times New Roman" w:eastAsia="宋体" w:cs="Times New Roman"/>
                      <w:sz w:val="18"/>
                      <w:szCs w:val="18"/>
                      <w:lang w:val="en-US" w:eastAsia="zh-CN"/>
                    </w:rPr>
                  </w:pPr>
                  <w:r>
                    <w:rPr>
                      <w:rFonts w:hint="eastAsia" w:cs="Times New Roman"/>
                      <w:sz w:val="18"/>
                      <w:szCs w:val="18"/>
                      <w:lang w:val="en-US" w:eastAsia="zh-CN"/>
                    </w:rPr>
                    <w:t>98</w:t>
                  </w:r>
                  <w:r>
                    <w:rPr>
                      <w:rFonts w:hint="eastAsia" w:ascii="Times New Roman" w:hAnsi="Times New Roman" w:eastAsia="宋体" w:cs="Times New Roman"/>
                      <w:sz w:val="18"/>
                      <w:szCs w:val="18"/>
                      <w:lang w:val="en-US" w:eastAsia="zh-CN"/>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9000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主要设备有：</w:t>
            </w:r>
            <w:r>
              <w:rPr>
                <w:rFonts w:hint="eastAsia" w:ascii="楷体" w:hAnsi="楷体" w:eastAsia="楷体"/>
                <w:szCs w:val="21"/>
                <w:lang w:eastAsia="zh-CN"/>
              </w:rPr>
              <w:t>搅拌站、装载机、240混凝土生产线2组、砂石分离机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rPr>
                <w:rFonts w:hint="default"/>
                <w:lang w:val="en-US"/>
              </w:rPr>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未提供对产品运输外包方进行评价的证据。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rPr>
                <w:rFonts w:hint="eastAsia"/>
              </w:rPr>
            </w:pPr>
            <w:r>
              <w:rPr>
                <w:rFonts w:hint="eastAsia"/>
              </w:rPr>
              <w:t>认证范围内每种产品/服务流程的关键过程及控制参数：</w:t>
            </w:r>
          </w:p>
          <w:p>
            <w:pPr>
              <w:pStyle w:val="2"/>
              <w:rPr>
                <w:rFonts w:hint="eastAsia"/>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07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pPr>
                  <w:r>
                    <w:rPr>
                      <w:rFonts w:hint="eastAsia"/>
                    </w:rPr>
                    <w:t>产品/服务名称</w:t>
                  </w:r>
                </w:p>
              </w:tc>
              <w:tc>
                <w:tcPr>
                  <w:tcW w:w="207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rPr>
                      <w:rFonts w:hint="default" w:eastAsia="宋体"/>
                      <w:lang w:val="en-US" w:eastAsia="zh-CN"/>
                    </w:rPr>
                  </w:pPr>
                  <w:r>
                    <w:rPr>
                      <w:b w:val="0"/>
                      <w:bCs w:val="0"/>
                      <w:sz w:val="20"/>
                    </w:rPr>
                    <w:t>预拌混凝土</w:t>
                  </w:r>
                </w:p>
              </w:tc>
              <w:tc>
                <w:tcPr>
                  <w:tcW w:w="2076" w:type="dxa"/>
                </w:tcPr>
                <w:p>
                  <w:pPr>
                    <w:shd w:val="clear" w:color="auto" w:fill="C7DAF1" w:themeFill="text2" w:themeFillTint="32"/>
                    <w:jc w:val="left"/>
                    <w:rPr>
                      <w:rFonts w:hint="default" w:eastAsia="宋体"/>
                      <w:lang w:val="en-US" w:eastAsia="zh-CN"/>
                    </w:rPr>
                  </w:pPr>
                  <w:r>
                    <w:rPr>
                      <w:rFonts w:hint="eastAsia"/>
                      <w:lang w:val="en-US" w:eastAsia="zh-CN"/>
                    </w:rPr>
                    <w:t>配料</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配合比</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配料、搅拌</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未提供对配料过程进行了确认证据</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2022年1月15日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rPr>
                <w:rFonts w:hint="eastAsia"/>
              </w:rPr>
            </w:pPr>
            <w:r>
              <w:rPr>
                <w:rFonts w:hint="eastAsia"/>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rPr>
                <w:rFonts w:hint="eastAsia" w:ascii="Times New Roman" w:hAnsi="Times New Roman" w:eastAsia="宋体" w:cs="Times New Roman"/>
              </w:rPr>
            </w:pPr>
            <w:r>
              <w:rPr>
                <w:rFonts w:hint="eastAsia"/>
                <w:lang w:eastAsia="zh-CN"/>
              </w:rPr>
              <w:t>☑</w:t>
            </w:r>
            <w:r>
              <w:rPr>
                <w:rFonts w:hint="eastAsia" w:ascii="Times New Roman" w:hAnsi="Times New Roman" w:eastAsia="宋体" w:cs="Times New Roman"/>
              </w:rPr>
              <w:t>对所有班次的现场操作已审核。</w:t>
            </w:r>
          </w:p>
          <w:p>
            <w:pPr>
              <w:shd w:val="clear" w:color="auto" w:fill="C7DAF1" w:themeFill="text2" w:themeFillTint="32"/>
              <w:rPr>
                <w:rFonts w:hint="eastAsia"/>
              </w:rPr>
            </w:pPr>
            <w:r>
              <w:rPr>
                <w:rFonts w:hint="eastAsia"/>
                <w:lang w:eastAsia="zh-CN"/>
              </w:rPr>
              <w:t>□</w:t>
            </w:r>
            <w:r>
              <w:rPr>
                <w:rFonts w:hint="eastAsia" w:ascii="Times New Roman" w:hAnsi="Times New Roman" w:eastAsia="宋体" w:cs="Times New Roman"/>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最高管理者已按策划的时间间隔，在</w:t>
            </w:r>
            <w:r>
              <w:rPr>
                <w:rFonts w:hint="eastAsia"/>
                <w:lang w:val="en-US" w:eastAsia="zh-CN"/>
              </w:rPr>
              <w:t>2022年1月26日</w:t>
            </w:r>
            <w:r>
              <w:rPr>
                <w:rFonts w:hint="eastAsia"/>
              </w:rPr>
              <w:t>对组织的质量管理体系进行了评审，以确保其持续的适宜性、充分性和有效性；管理评审输入、输出均按要求提供。并对提出的改进措施进行了落实。</w:t>
            </w:r>
          </w:p>
          <w:p>
            <w:pPr>
              <w:pStyle w:val="2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hd w:val="clear" w:color="auto" w:fill="EBF1DE" w:themeFill="accent3" w:themeFillTint="32"/>
              <w:rPr>
                <w:rFonts w:hint="eastAsia"/>
                <w:lang w:val="en-US" w:eastAsia="zh-CN"/>
              </w:rPr>
            </w:pPr>
            <w:r>
              <w:rPr>
                <w:rFonts w:hint="eastAsia" w:ascii="Times New Roman" w:hAnsi="Times New Roman" w:eastAsia="宋体" w:cs="Times New Roman"/>
                <w:sz w:val="21"/>
                <w:szCs w:val="21"/>
                <w:lang w:val="zh-CN"/>
              </w:rPr>
              <w:t>公司承诺保护环境，持续提高能源利用率，遵纪守法，不断提高预防、减少环境污染</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8"/>
              <w:gridCol w:w="439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pPr>
                    <w:shd w:val="clear" w:color="auto" w:fill="EBF1DE" w:themeFill="accent3" w:themeFillTint="32"/>
                  </w:pPr>
                  <w:r>
                    <w:rPr>
                      <w:rFonts w:hint="eastAsia"/>
                    </w:rPr>
                    <w:t>主要的风险或机遇描述</w:t>
                  </w:r>
                </w:p>
              </w:tc>
              <w:tc>
                <w:tcPr>
                  <w:tcW w:w="4397"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pPr>
                    <w:shd w:val="clear" w:color="auto" w:fill="EBF1DE" w:themeFill="accent3" w:themeFillTint="32"/>
                    <w:rPr>
                      <w:rFonts w:hint="default" w:eastAsia="宋体"/>
                      <w:sz w:val="21"/>
                      <w:szCs w:val="21"/>
                      <w:lang w:val="en-US" w:eastAsia="zh-CN"/>
                    </w:rPr>
                  </w:pPr>
                  <w:r>
                    <w:rPr>
                      <w:rFonts w:hint="eastAsia" w:ascii="Times New Roman" w:hAnsi="Times New Roman" w:eastAsia="宋体" w:cs="Times New Roman"/>
                      <w:sz w:val="21"/>
                      <w:szCs w:val="21"/>
                      <w:lang w:val="en-US" w:eastAsia="zh-CN"/>
                    </w:rPr>
                    <w:t>生产</w:t>
                  </w:r>
                  <w:r>
                    <w:rPr>
                      <w:rFonts w:hint="default" w:ascii="Times New Roman" w:hAnsi="Times New Roman" w:eastAsia="宋体" w:cs="Times New Roman"/>
                      <w:sz w:val="21"/>
                      <w:szCs w:val="21"/>
                    </w:rPr>
                    <w:t>设备的</w:t>
                  </w:r>
                  <w:r>
                    <w:rPr>
                      <w:rFonts w:hint="eastAsia" w:ascii="Times New Roman" w:hAnsi="Times New Roman" w:eastAsia="宋体" w:cs="Times New Roman"/>
                      <w:sz w:val="21"/>
                      <w:szCs w:val="21"/>
                      <w:lang w:eastAsia="zh-CN"/>
                    </w:rPr>
                    <w:t>生产</w:t>
                  </w:r>
                  <w:r>
                    <w:rPr>
                      <w:rFonts w:hint="default" w:ascii="Times New Roman" w:hAnsi="Times New Roman" w:eastAsia="宋体" w:cs="Times New Roman"/>
                      <w:sz w:val="21"/>
                      <w:szCs w:val="21"/>
                    </w:rPr>
                    <w:t>、环境保障、安全保障能力（保养、大修状况）</w:t>
                  </w:r>
                </w:p>
              </w:tc>
              <w:tc>
                <w:tcPr>
                  <w:tcW w:w="4397" w:type="dxa"/>
                </w:tcPr>
                <w:p>
                  <w:pPr>
                    <w:rPr>
                      <w:sz w:val="21"/>
                      <w:szCs w:val="21"/>
                    </w:rPr>
                  </w:pPr>
                  <w:r>
                    <w:rPr>
                      <w:rFonts w:hint="default" w:ascii="Times New Roman" w:hAnsi="Times New Roman" w:eastAsia="宋体" w:cs="Times New Roman"/>
                      <w:sz w:val="21"/>
                      <w:szCs w:val="21"/>
                    </w:rPr>
                    <w:t>1严格制定保养、大修制度，制定专人进行设备管理。2制定管理方案3依据国家法律法规要求控制噪声等环境因素</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能源消耗□资源消耗□废水排放</w:t>
            </w:r>
            <w:r>
              <w:rPr>
                <w:rFonts w:hint="eastAsia"/>
                <w:lang w:eastAsia="zh-CN"/>
              </w:rPr>
              <w:t>☑</w:t>
            </w:r>
            <w:r>
              <w:rPr>
                <w:rFonts w:hint="eastAsia"/>
              </w:rPr>
              <w:t>废气排放□粉尘排放</w:t>
            </w:r>
            <w:r>
              <w:rPr>
                <w:rFonts w:hint="eastAsia"/>
                <w:lang w:eastAsia="zh-CN"/>
              </w:rPr>
              <w:t>☑</w:t>
            </w:r>
            <w:r>
              <w:rPr>
                <w:rFonts w:hint="eastAsia"/>
                <w:lang w:val="en-US" w:eastAsia="zh-CN"/>
              </w:rPr>
              <w:t>固</w:t>
            </w:r>
            <w:r>
              <w:rPr>
                <w:rFonts w:hint="eastAsia"/>
              </w:rPr>
              <w:t>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lang w:eastAsia="zh-CN"/>
              </w:rPr>
              <w:t>☑</w:t>
            </w:r>
            <w:r>
              <w:rPr>
                <w:rFonts w:hint="eastAsia"/>
              </w:rPr>
              <w:t>环境影响报告表日期：</w:t>
            </w:r>
            <w:r>
              <w:rPr>
                <w:rFonts w:hint="eastAsia"/>
                <w:lang w:val="en-US" w:eastAsia="zh-CN"/>
              </w:rPr>
              <w:t>2021年5月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rFonts w:hint="default" w:eastAsia="宋体"/>
                <w:highlight w:val="cyan"/>
                <w:lang w:val="en-US" w:eastAsia="zh-CN"/>
              </w:rPr>
            </w:pPr>
            <w:r>
              <w:rPr>
                <w:rFonts w:hint="eastAsia"/>
                <w:lang w:eastAsia="zh-CN"/>
              </w:rPr>
              <w:t>□</w:t>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3889"/>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环境目标</w:t>
                  </w:r>
                </w:p>
              </w:tc>
              <w:tc>
                <w:tcPr>
                  <w:tcW w:w="3889"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控制措施</w:t>
                  </w:r>
                </w:p>
              </w:tc>
              <w:tc>
                <w:tcPr>
                  <w:tcW w:w="121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责任部门</w:t>
                  </w:r>
                </w:p>
              </w:tc>
              <w:tc>
                <w:tcPr>
                  <w:tcW w:w="177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固废处理达标排放</w:t>
                  </w:r>
                </w:p>
              </w:tc>
              <w:tc>
                <w:tcPr>
                  <w:tcW w:w="3889" w:type="dxa"/>
                  <w:shd w:val="clear" w:color="auto" w:fill="auto"/>
                  <w:vAlign w:val="center"/>
                </w:tcPr>
                <w:p>
                  <w:pPr>
                    <w:shd w:val="clear" w:color="auto" w:fill="EBF1DE" w:themeFill="accent3" w:themeFillTint="32"/>
                    <w:rPr>
                      <w:sz w:val="21"/>
                      <w:szCs w:val="21"/>
                      <w:lang w:val="en-GB"/>
                    </w:rPr>
                  </w:pPr>
                  <w:r>
                    <w:rPr>
                      <w:rFonts w:hint="default" w:ascii="Times New Roman" w:hAnsi="Times New Roman" w:eastAsia="宋体" w:cs="Times New Roman"/>
                      <w:sz w:val="21"/>
                      <w:szCs w:val="21"/>
                    </w:rPr>
                    <w:t>划分区域分别放置生产下脚料、</w:t>
                  </w:r>
                  <w:r>
                    <w:rPr>
                      <w:rFonts w:hint="default" w:ascii="Times New Roman" w:hAnsi="Times New Roman" w:eastAsia="宋体" w:cs="Times New Roman"/>
                      <w:sz w:val="21"/>
                      <w:szCs w:val="21"/>
                      <w:lang w:eastAsia="zh-CN"/>
                    </w:rPr>
                    <w:t>包装袋</w:t>
                  </w:r>
                  <w:r>
                    <w:rPr>
                      <w:rFonts w:hint="default" w:ascii="Times New Roman" w:hAnsi="Times New Roman" w:eastAsia="宋体" w:cs="Times New Roman"/>
                      <w:sz w:val="21"/>
                      <w:szCs w:val="21"/>
                    </w:rPr>
                    <w:t>等</w:t>
                  </w:r>
                  <w:r>
                    <w:rPr>
                      <w:rFonts w:hint="default" w:ascii="Times New Roman" w:hAnsi="Times New Roman" w:eastAsia="宋体" w:cs="Times New Roman"/>
                      <w:sz w:val="21"/>
                      <w:szCs w:val="21"/>
                      <w:lang w:eastAsia="zh-CN"/>
                    </w:rPr>
                    <w:t>，办公室设置垃圾桶等分类处置地点</w:t>
                  </w:r>
                </w:p>
              </w:tc>
              <w:tc>
                <w:tcPr>
                  <w:tcW w:w="1214" w:type="dxa"/>
                  <w:shd w:val="clear" w:color="auto" w:fill="auto"/>
                  <w:vAlign w:val="center"/>
                </w:tcPr>
                <w:p>
                  <w:pPr>
                    <w:shd w:val="clear" w:color="auto" w:fill="EBF1DE" w:themeFill="accent3" w:themeFillTint="32"/>
                    <w:rPr>
                      <w:rFonts w:hint="eastAsia" w:eastAsia="宋体"/>
                      <w:sz w:val="21"/>
                      <w:szCs w:val="21"/>
                      <w:lang w:val="en-US" w:eastAsia="zh-CN"/>
                    </w:rPr>
                  </w:pPr>
                  <w:r>
                    <w:rPr>
                      <w:rFonts w:hint="eastAsia"/>
                      <w:sz w:val="21"/>
                      <w:szCs w:val="21"/>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sz w:val="21"/>
                      <w:szCs w:val="21"/>
                      <w:lang w:val="en-US" w:eastAsia="zh-CN"/>
                    </w:rPr>
                  </w:pPr>
                  <w:r>
                    <w:rPr>
                      <w:rFonts w:hint="eastAsia" w:ascii="宋体" w:hAnsi="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噪声</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废气</w:t>
                  </w:r>
                  <w:r>
                    <w:rPr>
                      <w:rFonts w:hint="eastAsia" w:ascii="Times New Roman" w:hAnsi="Times New Roman" w:eastAsia="宋体" w:cs="Times New Roman"/>
                      <w:sz w:val="21"/>
                      <w:szCs w:val="21"/>
                    </w:rPr>
                    <w:t>达标排放</w:t>
                  </w:r>
                </w:p>
              </w:tc>
              <w:tc>
                <w:tcPr>
                  <w:tcW w:w="3889" w:type="dxa"/>
                  <w:shd w:val="clear" w:color="auto" w:fill="auto"/>
                  <w:vAlign w:val="center"/>
                </w:tcPr>
                <w:p>
                  <w:pPr>
                    <w:shd w:val="clear" w:color="auto" w:fill="EBF1DE" w:themeFill="accent3" w:themeFillTint="32"/>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封闭式生产设备</w:t>
                  </w:r>
                  <w:r>
                    <w:rPr>
                      <w:rFonts w:hint="eastAsia" w:ascii="Times New Roman" w:hAnsi="Times New Roman" w:cs="Times New Roman"/>
                      <w:sz w:val="21"/>
                      <w:szCs w:val="21"/>
                      <w:lang w:eastAsia="zh-CN"/>
                    </w:rPr>
                    <w:t>，</w:t>
                  </w:r>
                  <w:r>
                    <w:rPr>
                      <w:rFonts w:hint="default" w:ascii="Times New Roman" w:hAnsi="Times New Roman" w:eastAsia="宋体" w:cs="Times New Roman"/>
                      <w:kern w:val="0"/>
                      <w:sz w:val="21"/>
                      <w:szCs w:val="21"/>
                    </w:rPr>
                    <w:t>对设备进行全面检修，确保性能良好，减少震动和噪音</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lang w:val="en-US" w:eastAsia="zh-CN"/>
                    </w:rPr>
                    <w:t>维护环保设施</w:t>
                  </w:r>
                </w:p>
              </w:tc>
              <w:tc>
                <w:tcPr>
                  <w:tcW w:w="1214" w:type="dxa"/>
                  <w:shd w:val="clear" w:color="auto" w:fill="auto"/>
                  <w:vAlign w:val="center"/>
                </w:tcPr>
                <w:p>
                  <w:pPr>
                    <w:shd w:val="clear" w:color="auto" w:fill="EBF1DE" w:themeFill="accent3" w:themeFillTint="32"/>
                    <w:rPr>
                      <w:rFonts w:hint="default"/>
                      <w:sz w:val="21"/>
                      <w:szCs w:val="21"/>
                      <w:lang w:val="en-US" w:eastAsia="zh-CN"/>
                    </w:rPr>
                  </w:pPr>
                  <w:r>
                    <w:rPr>
                      <w:rFonts w:hint="eastAsia"/>
                      <w:sz w:val="21"/>
                      <w:szCs w:val="21"/>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sz w:val="21"/>
                      <w:szCs w:val="21"/>
                      <w:lang w:val="en-US" w:eastAsia="zh-CN"/>
                    </w:rPr>
                  </w:pPr>
                  <w:r>
                    <w:rPr>
                      <w:rFonts w:hint="eastAsia" w:ascii="宋体" w:hAnsi="宋体"/>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火灾事故发生率为0</w:t>
                  </w:r>
                </w:p>
              </w:tc>
              <w:tc>
                <w:tcPr>
                  <w:tcW w:w="3889" w:type="dxa"/>
                  <w:shd w:val="clear" w:color="auto" w:fill="auto"/>
                  <w:vAlign w:val="center"/>
                </w:tcPr>
                <w:p>
                  <w:pPr>
                    <w:shd w:val="clear" w:color="auto" w:fill="EBF1DE" w:themeFill="accent3" w:themeFillTint="32"/>
                    <w:rPr>
                      <w:rFonts w:hint="eastAsia" w:ascii="Times New Roman" w:hAnsi="Times New Roman" w:cs="Times New Roman"/>
                      <w:sz w:val="21"/>
                      <w:szCs w:val="21"/>
                      <w:lang w:val="en-US" w:eastAsia="zh-CN"/>
                    </w:rPr>
                  </w:pPr>
                  <w:r>
                    <w:rPr>
                      <w:rFonts w:hint="default" w:ascii="Times New Roman" w:hAnsi="Times New Roman" w:eastAsia="宋体" w:cs="Times New Roman"/>
                      <w:sz w:val="21"/>
                      <w:szCs w:val="21"/>
                    </w:rPr>
                    <w:t>消防设备按照位置明显，易于使用。在特殊地区严禁烟火和张贴防火标示</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定期对安防设备进行检测和演练。</w:t>
                  </w:r>
                </w:p>
              </w:tc>
              <w:tc>
                <w:tcPr>
                  <w:tcW w:w="1214" w:type="dxa"/>
                  <w:shd w:val="clear" w:color="auto" w:fill="auto"/>
                  <w:vAlign w:val="center"/>
                </w:tcPr>
                <w:p>
                  <w:pPr>
                    <w:shd w:val="clear" w:color="auto" w:fill="EBF1DE" w:themeFill="accent3" w:themeFillTint="32"/>
                    <w:rPr>
                      <w:rFonts w:hint="default"/>
                      <w:sz w:val="21"/>
                      <w:szCs w:val="21"/>
                      <w:lang w:val="en-US" w:eastAsia="zh-CN"/>
                    </w:rPr>
                  </w:pPr>
                  <w:r>
                    <w:rPr>
                      <w:rFonts w:hint="eastAsia"/>
                      <w:sz w:val="21"/>
                      <w:szCs w:val="21"/>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sz w:val="21"/>
                      <w:szCs w:val="21"/>
                      <w:lang w:val="en-US" w:eastAsia="zh-CN"/>
                    </w:rPr>
                  </w:pPr>
                  <w:r>
                    <w:rPr>
                      <w:rFonts w:hint="eastAsia" w:ascii="宋体" w:hAnsi="宋体"/>
                      <w:sz w:val="21"/>
                      <w:szCs w:val="21"/>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w:t>
            </w:r>
            <w:r>
              <w:rPr>
                <w:rFonts w:hint="eastAsia"/>
                <w:lang w:val="en-US" w:eastAsia="zh-CN"/>
              </w:rPr>
              <w:t>9000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rFonts w:hint="eastAsia" w:eastAsia="宋体"/>
                <w:u w:val="single"/>
                <w:lang w:val="en-US" w:eastAsia="zh-CN"/>
              </w:rPr>
            </w:pPr>
            <w:r>
              <w:rPr>
                <w:rFonts w:hint="eastAsia"/>
              </w:rPr>
              <w:t>主要设备有：</w:t>
            </w:r>
            <w:r>
              <w:rPr>
                <w:rFonts w:hint="eastAsia" w:ascii="楷体" w:hAnsi="楷体" w:eastAsia="楷体"/>
                <w:color w:val="000000"/>
                <w:szCs w:val="21"/>
                <w:u w:val="none"/>
                <w:lang w:eastAsia="zh-CN"/>
              </w:rPr>
              <w:t>搅拌站、装载机、240混凝土生产线2组、砂石分离机</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lang w:val="en-US" w:eastAsia="zh-CN"/>
              </w:rPr>
              <w:t>布袋除尘器、集气罩、喷淋系统、</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default" w:eastAsia="宋体"/>
                <w:u w:val="single"/>
                <w:lang w:val="en-US" w:eastAsia="zh-CN"/>
              </w:rPr>
            </w:pPr>
            <w:r>
              <w:rPr>
                <w:rFonts w:hint="eastAsia"/>
              </w:rPr>
              <w:t>环境监测的计量器具有：</w:t>
            </w:r>
            <w:r>
              <w:rPr>
                <w:rFonts w:hint="eastAsia"/>
                <w:u w:val="single"/>
                <w:lang w:val="en-US" w:eastAsia="zh-CN"/>
              </w:rPr>
              <w:t>在线扬尘噪声监测系统</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pPr>
            <w:r>
              <w:rPr>
                <w:rFonts w:hint="eastAsia"/>
                <w:lang w:eastAsia="zh-CN"/>
              </w:rPr>
              <w:t>☑</w:t>
            </w:r>
            <w:r>
              <w:rPr>
                <w:rFonts w:hint="eastAsia"/>
              </w:rPr>
              <w:t>工艺流程图</w:t>
            </w:r>
            <w:r>
              <w:rPr>
                <w:rFonts w:hint="eastAsia"/>
                <w:lang w:eastAsia="zh-CN"/>
              </w:rPr>
              <w:t>☑</w:t>
            </w:r>
            <w:r>
              <w:rPr>
                <w:rFonts w:hint="eastAsia"/>
              </w:rPr>
              <w:t>作业文件</w:t>
            </w:r>
            <w:r>
              <w:rPr>
                <w:rFonts w:hint="eastAsia"/>
                <w:lang w:eastAsia="zh-CN"/>
              </w:rPr>
              <w:t>□</w:t>
            </w:r>
            <w:r>
              <w:rPr>
                <w:rFonts w:hint="eastAsia"/>
              </w:rPr>
              <w:t xml:space="preserve">MSDS   </w:t>
            </w:r>
            <w:r>
              <w:rPr>
                <w:rFonts w:hint="eastAsia"/>
                <w:lang w:eastAsia="zh-CN"/>
              </w:rPr>
              <w:t>☑</w:t>
            </w:r>
            <w:r>
              <w:rPr>
                <w:rFonts w:hint="eastAsia"/>
              </w:rPr>
              <w:t>接收准则</w:t>
            </w:r>
            <w:r>
              <w:rPr>
                <w:rFonts w:hint="eastAsia"/>
                <w:lang w:eastAsia="zh-CN"/>
              </w:rPr>
              <w:t>☑</w:t>
            </w:r>
            <w:r>
              <w:rPr>
                <w:rFonts w:hint="eastAsia"/>
              </w:rPr>
              <w:t>外包控制要求</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rPr>
                <w:rFonts w:hint="default"/>
                <w:lang w:val="en-US"/>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未对产品运输外包方施加环境影响。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default"/>
                      <w:lang w:val="en-US" w:eastAsia="zh-CN"/>
                    </w:rPr>
                  </w:pPr>
                  <w:r>
                    <w:rPr>
                      <w:rFonts w:hint="eastAsia"/>
                      <w:lang w:val="en-US" w:eastAsia="zh-CN"/>
                    </w:rPr>
                    <w:t>噪声、废气排放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对设备进行维护保养，</w:t>
                  </w: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lang w:eastAsia="zh-CN"/>
              </w:rPr>
              <w:t>☑</w:t>
            </w:r>
            <w:r>
              <w:rPr>
                <w:rFonts w:hint="eastAsia"/>
              </w:rPr>
              <w:t>火灾控制</w:t>
            </w:r>
            <w:r>
              <w:rPr>
                <w:rFonts w:hint="eastAsia"/>
                <w:lang w:eastAsia="zh-CN"/>
              </w:rPr>
              <w:t>□</w:t>
            </w:r>
            <w:r>
              <w:rPr>
                <w:rFonts w:hint="eastAsia"/>
              </w:rPr>
              <w:t>危化品泄露</w:t>
            </w:r>
            <w:r>
              <w:rPr>
                <w:rFonts w:hint="eastAsia"/>
                <w:lang w:eastAsia="zh-CN"/>
              </w:rPr>
              <w:t>□</w:t>
            </w:r>
            <w:r>
              <w:rPr>
                <w:rFonts w:hint="eastAsia"/>
              </w:rPr>
              <w:t>锅炉爆炸</w:t>
            </w:r>
            <w:r>
              <w:rPr>
                <w:rFonts w:hint="eastAsia"/>
                <w:lang w:eastAsia="zh-CN"/>
              </w:rPr>
              <w:t>□</w:t>
            </w:r>
            <w:r>
              <w:rPr>
                <w:rFonts w:hint="eastAsia"/>
              </w:rPr>
              <w:t>环保设备故障</w:t>
            </w:r>
            <w:r>
              <w:rPr>
                <w:rFonts w:hint="eastAsia"/>
                <w:lang w:eastAsia="zh-CN"/>
              </w:rPr>
              <w:t>□</w:t>
            </w:r>
            <w:r>
              <w:rPr>
                <w:rFonts w:hint="eastAsia"/>
              </w:rPr>
              <w:t>停水停电</w:t>
            </w:r>
            <w:r>
              <w:rPr>
                <w:rFonts w:hint="eastAsia"/>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lang w:eastAsia="zh-CN"/>
              </w:rPr>
              <w:t>☑</w:t>
            </w:r>
            <w:r>
              <w:rPr>
                <w:rFonts w:hint="eastAsia"/>
              </w:rPr>
              <w:t>未发生</w:t>
            </w:r>
            <w:r>
              <w:rPr>
                <w:rFonts w:hint="eastAsia"/>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19</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hint="eastAsia"/>
              </w:rPr>
            </w:pPr>
            <w:r>
              <w:rPr>
                <w:rFonts w:hint="eastAsia"/>
              </w:rPr>
              <w:t>应急准备和响应控制：</w:t>
            </w:r>
            <w:r>
              <w:rPr>
                <w:rFonts w:hint="eastAsia"/>
                <w:lang w:eastAsia="zh-CN"/>
              </w:rPr>
              <w:t>☑</w:t>
            </w:r>
            <w:r>
              <w:rPr>
                <w:rFonts w:hint="eastAsia"/>
              </w:rPr>
              <w:t>符合要求</w:t>
            </w:r>
            <w:r>
              <w:rPr>
                <w:rFonts w:hint="eastAsia"/>
                <w:lang w:eastAsia="zh-CN"/>
              </w:rPr>
              <w:t>□</w:t>
            </w:r>
            <w:r>
              <w:rPr>
                <w:rFonts w:hint="eastAsia"/>
              </w:rPr>
              <w:t>存在不足，说明。</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rPr>
                <w:rFonts w:hint="default"/>
                <w:lang w:val="en-US"/>
              </w:rPr>
            </w:pPr>
            <w:r>
              <w:rPr>
                <w:rFonts w:hint="eastAsia"/>
              </w:rPr>
              <w:t>《环境</w:t>
            </w:r>
            <w:r>
              <w:rPr>
                <w:rFonts w:hint="eastAsia"/>
                <w:lang w:val="en-US" w:eastAsia="zh-CN"/>
              </w:rPr>
              <w:t>检测</w:t>
            </w:r>
            <w:r>
              <w:rPr>
                <w:rFonts w:hint="eastAsia"/>
              </w:rPr>
              <w:t>报告》编号：</w:t>
            </w:r>
            <w:r>
              <w:rPr>
                <w:rFonts w:hint="eastAsia" w:ascii="Times New Roman" w:hAnsi="Times New Roman" w:eastAsia="宋体" w:cs="Times New Roman"/>
                <w:sz w:val="21"/>
                <w:szCs w:val="21"/>
                <w:lang w:val="zh-CN" w:eastAsia="zh-CN"/>
              </w:rPr>
              <w:t>庚驰环检字（</w:t>
            </w:r>
            <w:r>
              <w:rPr>
                <w:rFonts w:hint="eastAsia" w:ascii="Times New Roman" w:hAnsi="Times New Roman" w:eastAsia="宋体" w:cs="Times New Roman"/>
                <w:sz w:val="21"/>
                <w:szCs w:val="21"/>
                <w:lang w:val="en-US" w:eastAsia="zh-CN"/>
              </w:rPr>
              <w:t>2021</w:t>
            </w:r>
            <w:r>
              <w:rPr>
                <w:rFonts w:hint="eastAsia" w:ascii="Times New Roman" w:hAnsi="Times New Roman" w:eastAsia="宋体" w:cs="Times New Roman"/>
                <w:sz w:val="21"/>
                <w:szCs w:val="21"/>
                <w:lang w:val="zh-CN" w:eastAsia="zh-CN"/>
              </w:rPr>
              <w:t>）第</w:t>
            </w:r>
            <w:r>
              <w:rPr>
                <w:rFonts w:hint="eastAsia" w:ascii="Times New Roman" w:hAnsi="Times New Roman" w:eastAsia="宋体" w:cs="Times New Roman"/>
                <w:sz w:val="21"/>
                <w:szCs w:val="21"/>
                <w:lang w:val="en-US" w:eastAsia="zh-CN"/>
              </w:rPr>
              <w:t>J144号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2022年1月15日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ascii="Times New Roman" w:hAnsi="Times New Roman" w:eastAsia="宋体" w:cs="Times New Roman"/>
              </w:rPr>
            </w:pPr>
            <w:r>
              <w:rPr>
                <w:rFonts w:hint="eastAsia"/>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若是多班次操作：（按照组织的实际情况选择）</w:t>
            </w:r>
          </w:p>
          <w:p>
            <w:pPr>
              <w:shd w:val="clear" w:color="auto" w:fill="EBF1DE" w:themeFill="accent3" w:themeFillTint="32"/>
              <w:rPr>
                <w:rFonts w:hint="eastAsia" w:ascii="Times New Roman" w:hAnsi="Times New Roman" w:eastAsia="宋体" w:cs="Times New Roman"/>
              </w:rPr>
            </w:pPr>
            <w:r>
              <w:rPr>
                <w:rFonts w:hint="eastAsia" w:cs="Times New Roman"/>
                <w:lang w:eastAsia="zh-CN"/>
              </w:rPr>
              <w:t>☑</w:t>
            </w:r>
            <w:r>
              <w:rPr>
                <w:rFonts w:hint="eastAsia" w:ascii="Times New Roman" w:hAnsi="Times New Roman" w:eastAsia="宋体" w:cs="Times New Roman"/>
              </w:rPr>
              <w:t>对所有班次的现场操作已审核。</w:t>
            </w:r>
          </w:p>
          <w:p>
            <w:pPr>
              <w:shd w:val="clear" w:color="auto" w:fill="EBF1DE" w:themeFill="accent3" w:themeFillTint="32"/>
            </w:pPr>
            <w:r>
              <w:rPr>
                <w:rFonts w:hint="eastAsia" w:ascii="Times New Roman" w:hAnsi="Times New Roman" w:eastAsia="宋体" w:cs="Times New Roman"/>
                <w:lang w:eastAsia="zh-CN"/>
              </w:rPr>
              <w:t>□</w:t>
            </w:r>
            <w:r>
              <w:rPr>
                <w:rFonts w:hint="eastAsia" w:ascii="Times New Roman" w:hAnsi="Times New Roman" w:eastAsia="宋体" w:cs="Times New Roman"/>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2022年1月26日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pStyle w:val="24"/>
        <w:ind w:left="0" w:leftChars="0" w:firstLine="0" w:firstLineChars="0"/>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w:t>
            </w:r>
            <w:r>
              <w:rPr>
                <w:rFonts w:hint="eastAsia"/>
                <w:lang w:eastAsia="zh-CN"/>
              </w:rPr>
              <w:t>☑</w:t>
            </w:r>
            <w:r>
              <w:rPr>
                <w:rFonts w:hint="eastAsia"/>
              </w:rPr>
              <w:t>产品运输</w:t>
            </w:r>
            <w:r>
              <w:rPr>
                <w:rFonts w:hint="eastAsia"/>
                <w:lang w:eastAsia="zh-CN"/>
              </w:rPr>
              <w:t>□</w:t>
            </w:r>
            <w:r>
              <w:rPr>
                <w:rFonts w:hint="eastAsia"/>
              </w:rPr>
              <w:t>设备维修</w:t>
            </w:r>
          </w:p>
          <w:p>
            <w:pPr>
              <w:spacing w:before="40" w:after="40"/>
              <w:rPr>
                <w:rFonts w:hint="eastAsia" w:eastAsia="宋体"/>
                <w:lang w:eastAsia="zh-CN"/>
              </w:rPr>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ascii="Times New Roman" w:hAnsi="Times New Roman" w:eastAsia="宋体" w:cs="Times New Roman"/>
                <w:sz w:val="21"/>
                <w:szCs w:val="21"/>
                <w:lang w:val="zh-CN"/>
              </w:rPr>
            </w:pPr>
            <w:r>
              <w:rPr>
                <w:rFonts w:hint="eastAsia" w:ascii="Times New Roman" w:hAnsi="Times New Roman" w:eastAsia="宋体" w:cs="Times New Roman"/>
                <w:sz w:val="21"/>
                <w:szCs w:val="21"/>
                <w:lang w:val="zh-CN"/>
              </w:rPr>
              <w:t>杜绝事故，遵纪守法，持续改善生产环境，不断提高职业健康安全意识。公司承诺保护员工、顾客及社区居民的健康和安全</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r>
              <w:rPr>
                <w:rFonts w:hint="eastAsia"/>
              </w:rPr>
              <w:t>安全的主管部门是——</w:t>
            </w: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cs="Times New Roman"/>
                <w:b/>
                <w:bCs/>
                <w:sz w:val="22"/>
                <w:szCs w:val="28"/>
                <w:lang w:val="en-US" w:eastAsia="zh-CN"/>
              </w:rPr>
              <w:t>刘伯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44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r>
                    <w:rPr>
                      <w:rFonts w:hint="eastAsia"/>
                    </w:rPr>
                    <w:t>主要的风险或机遇描述</w:t>
                  </w:r>
                </w:p>
              </w:tc>
              <w:tc>
                <w:tcPr>
                  <w:tcW w:w="440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pPr>
                    <w:rPr>
                      <w:rFonts w:hint="default" w:eastAsia="宋体"/>
                      <w:sz w:val="18"/>
                      <w:szCs w:val="18"/>
                      <w:lang w:val="en-US" w:eastAsia="zh-CN"/>
                    </w:rPr>
                  </w:pPr>
                  <w:r>
                    <w:rPr>
                      <w:rFonts w:hint="eastAsia"/>
                      <w:sz w:val="18"/>
                      <w:szCs w:val="18"/>
                      <w:lang w:val="en-US" w:eastAsia="zh-CN"/>
                    </w:rPr>
                    <w:t>疫情爆发带来的不安定</w:t>
                  </w:r>
                </w:p>
              </w:tc>
              <w:tc>
                <w:tcPr>
                  <w:tcW w:w="4406" w:type="dxa"/>
                </w:tcPr>
                <w:p>
                  <w:pPr>
                    <w:rPr>
                      <w:sz w:val="18"/>
                      <w:szCs w:val="18"/>
                    </w:rPr>
                  </w:pPr>
                  <w:r>
                    <w:rPr>
                      <w:rFonts w:hint="eastAsia" w:ascii="楷体" w:hAnsi="楷体" w:eastAsia="楷体" w:cs="楷体"/>
                      <w:sz w:val="21"/>
                      <w:szCs w:val="21"/>
                      <w:lang w:val="en-US" w:eastAsia="zh-CN"/>
                    </w:rPr>
                    <w:t>制定疫情应对措施，配备防疫用品，进出厂区测量体温、定期消杀、外地人员或去过风险地区人员的报备</w:t>
                  </w:r>
                </w:p>
              </w:tc>
              <w:tc>
                <w:tcPr>
                  <w:tcW w:w="1717" w:type="dxa"/>
                </w:tcPr>
                <w:p>
                  <w:pPr>
                    <w:rPr>
                      <w:rFonts w:hint="eastAsia" w:eastAsia="宋体"/>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lang w:val="en-US" w:eastAsia="zh-CN"/>
              </w:rPr>
              <w:t>废气</w:t>
            </w:r>
            <w:r>
              <w:rPr>
                <w:rFonts w:hint="eastAsia"/>
              </w:rPr>
              <w:t>□危险作业□高低温□危化品泄露□压力容器爆炸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1800"/>
                    </w:tabs>
                    <w:spacing w:beforeLines="0" w:afterLines="0" w:line="360" w:lineRule="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重大安全事故为0</w:t>
                  </w:r>
                </w:p>
                <w:p>
                  <w:pPr>
                    <w:tabs>
                      <w:tab w:val="left" w:pos="1800"/>
                    </w:tabs>
                    <w:spacing w:beforeLines="0" w:afterLines="0" w:line="360" w:lineRule="auto"/>
                    <w:rPr>
                      <w:rFonts w:hint="eastAsia" w:ascii="宋体" w:hAnsi="宋体" w:eastAsia="宋体" w:cs="宋体"/>
                      <w:kern w:val="2"/>
                      <w:sz w:val="24"/>
                      <w:szCs w:val="24"/>
                      <w:lang w:val="en-US" w:eastAsia="zh-CN" w:bidi="ar-SA"/>
                    </w:rPr>
                  </w:pPr>
                  <w:r>
                    <w:rPr>
                      <w:rFonts w:hint="eastAsia" w:ascii="Times New Roman" w:hAnsi="Times New Roman" w:cs="Times New Roman"/>
                      <w:sz w:val="18"/>
                      <w:szCs w:val="18"/>
                      <w:lang w:val="en-US" w:eastAsia="zh-CN"/>
                    </w:rPr>
                    <w:t>火灾事故发生率为0</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9000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rPr>
                <w:rFonts w:hint="eastAsia" w:ascii="楷体" w:hAnsi="楷体" w:eastAsia="楷体"/>
                <w:color w:val="000000"/>
                <w:szCs w:val="21"/>
                <w:u w:val="none"/>
                <w:lang w:eastAsia="zh-CN"/>
              </w:rPr>
            </w:pPr>
            <w:r>
              <w:rPr>
                <w:rFonts w:hint="eastAsia"/>
              </w:rPr>
              <w:t>主要设备有：</w:t>
            </w:r>
            <w:r>
              <w:rPr>
                <w:rFonts w:hint="eastAsia" w:ascii="楷体" w:hAnsi="楷体" w:eastAsia="楷体"/>
                <w:color w:val="000000"/>
                <w:szCs w:val="21"/>
                <w:u w:val="none"/>
                <w:lang w:eastAsia="zh-CN"/>
              </w:rPr>
              <w:t>搅拌站、装载机、240混凝土生产线2组、砂石分离机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lang w:eastAsia="zh-CN"/>
              </w:rPr>
              <w:t>□</w:t>
            </w:r>
            <w:r>
              <w:rPr>
                <w:rFonts w:hint="eastAsia"/>
              </w:rPr>
              <w:t>局域网</w:t>
            </w:r>
            <w:r>
              <w:rPr>
                <w:rFonts w:hint="eastAsia"/>
                <w:lang w:eastAsia="zh-CN"/>
              </w:rPr>
              <w:t>□</w:t>
            </w:r>
            <w:r>
              <w:rPr>
                <w:rFonts w:hint="eastAsia"/>
              </w:rPr>
              <w:t>其他</w:t>
            </w:r>
          </w:p>
          <w:p/>
          <w:p>
            <w:r>
              <w:rPr>
                <w:rFonts w:hint="eastAsia"/>
              </w:rPr>
              <w:t>实施了员工三级安全教育：</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离职</w:t>
            </w:r>
          </w:p>
          <w:p>
            <w:r>
              <w:rPr>
                <w:rFonts w:hint="eastAsia"/>
              </w:rPr>
              <w:t>实施了员工职业危害告知：</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rPr>
                <w:rFonts w:hint="default"/>
                <w:lang w:val="en-US"/>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未对产品运输外包方施加影响。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机械伤害</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安全装置□挂牌上锁管理</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废气</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除尘装置□穿戴劳保用品（防尘面罩）</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噪声</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12</w:t>
            </w:r>
            <w:r>
              <w:rPr>
                <w:rFonts w:hint="eastAsia"/>
              </w:rPr>
              <w:t>日进行了</w:t>
            </w:r>
            <w:r>
              <w:rPr>
                <w:rFonts w:hint="eastAsia"/>
                <w:lang w:val="en-US" w:eastAsia="zh-CN"/>
              </w:rPr>
              <w:t>机械伤害事故</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《作业场所有害物质监测报告》编号：HBLJ2021WT363。</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pPr>
              <w:rPr>
                <w:rFonts w:hint="default"/>
                <w:lang w:val="en-US"/>
              </w:rPr>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2022年1月15日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rPr>
                <w:rFonts w:hint="eastAsia"/>
              </w:rPr>
            </w:pPr>
            <w:r>
              <w:rPr>
                <w:rFonts w:hint="eastAsia"/>
              </w:rPr>
              <w:t>若是组织多场所/临时场所：（按照组织的实际情况选择）</w:t>
            </w:r>
          </w:p>
          <w:p>
            <w:pPr>
              <w:rPr>
                <w:rFonts w:hint="eastAsia"/>
              </w:rPr>
            </w:pPr>
            <w:r>
              <w:rPr>
                <w:rFonts w:hint="eastAsia"/>
              </w:rPr>
              <w:t>□内审贯穿了多场所/临时现场，内审的验证结论是正面的。管理者代表相应的职权覆盖了所有的场所。）</w:t>
            </w:r>
          </w:p>
          <w:p>
            <w:pPr>
              <w:rPr>
                <w:rFonts w:hint="eastAsia"/>
              </w:rPr>
            </w:pPr>
            <w:r>
              <w:rPr>
                <w:rFonts w:hint="eastAsia"/>
              </w:rPr>
              <w:t>若是多班次操作：（按照组织的实际情况选择）</w:t>
            </w:r>
          </w:p>
          <w:p>
            <w:pPr>
              <w:rPr>
                <w:rFonts w:hint="eastAsia"/>
              </w:rPr>
            </w:pPr>
            <w:r>
              <w:rPr>
                <w:rFonts w:hint="eastAsia"/>
              </w:rPr>
              <w:t>☑对所有班次的现场操作已审核。</w:t>
            </w:r>
          </w:p>
          <w:p>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2022年1月26日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default"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bookmarkStart w:id="25" w:name="_GoBack"/>
      <w:bookmarkEnd w:id="25"/>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D12306C"/>
    <w:rsid w:val="1AF108CC"/>
    <w:rsid w:val="36640D65"/>
    <w:rsid w:val="3D31389A"/>
    <w:rsid w:val="5EC968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正文 首行缩进:  2 字符"/>
    <w:basedOn w:val="1"/>
    <w:qFormat/>
    <w:uiPriority w:val="0"/>
    <w:pPr>
      <w:ind w:firstLine="200" w:firstLineChars="200"/>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5</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2022-04-19T12:47:30Z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