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0243-2022-EO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重庆洋宇物流有限公司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2022年04月11日 上午至2022年04月11日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E:31.04.01</w:t>
            </w:r>
          </w:p>
          <w:p>
            <w:pPr>
              <w:spacing w:line="240" w:lineRule="exact"/>
              <w:jc w:val="center"/>
              <w:rPr>
                <w:b/>
                <w:color w:val="000000"/>
                <w:szCs w:val="21"/>
              </w:rPr>
            </w:pPr>
            <w:r>
              <w:rPr>
                <w:b/>
                <w:color w:val="000000"/>
                <w:szCs w:val="21"/>
              </w:rPr>
              <w:t>O:31.04.01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重庆洋宇物流有限公司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重庆市潼南区太安镇滩石路89号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402660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重庆市潼南区梓潼街道建设东路66号9幢第一层1-6号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402660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hint="default" w:ascii="宋体" w:eastAsia="宋体"/>
                <w:b/>
                <w:color w:val="000000"/>
                <w:szCs w:val="21"/>
                <w:lang w:val="en-US" w:eastAsia="zh-CN"/>
              </w:rPr>
            </w:pPr>
            <w:r>
              <w:rPr>
                <w:rFonts w:hint="eastAsia" w:ascii="宋体"/>
                <w:b/>
                <w:color w:val="000000"/>
                <w:szCs w:val="21"/>
                <w:lang w:val="en-US" w:eastAsia="zh-CN"/>
              </w:rPr>
              <w:t>陈凤</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hint="eastAsia" w:ascii="宋体"/>
                <w:b/>
                <w:color w:val="000000"/>
                <w:szCs w:val="21"/>
              </w:rPr>
              <w:t>15123131912</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刘远强</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朱丹粒</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危险货物运输（第2类第3项）</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服务流程图:</w:t>
            </w:r>
          </w:p>
          <w:p>
            <w:pPr>
              <w:rPr>
                <w:rFonts w:hint="eastAsia" w:ascii="宋体" w:hAnsi="宋体" w:cs="宋体"/>
                <w:kern w:val="2"/>
                <w:sz w:val="21"/>
                <w:szCs w:val="21"/>
                <w:highlight w:val="none"/>
                <w:lang w:val="en-US" w:eastAsia="zh-CN" w:bidi="ar-SA"/>
              </w:rPr>
            </w:pPr>
            <w:r>
              <w:rPr>
                <w:rFonts w:hint="eastAsia"/>
                <w:bCs/>
                <w:lang w:eastAsia="zh-CN"/>
              </w:rPr>
              <w:t>承接订单----调配车辆、人员-----货物确认--装卸货物----客户确认</w:t>
            </w:r>
            <w:r>
              <w:rPr>
                <w:rFonts w:hint="eastAsia" w:ascii="宋体" w:hAnsi="宋体" w:cs="宋体"/>
                <w:kern w:val="2"/>
                <w:sz w:val="21"/>
                <w:szCs w:val="21"/>
                <w:highlight w:val="none"/>
                <w:lang w:val="en-US" w:eastAsia="zh-CN" w:bidi="ar-SA"/>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危险货物运输（第2类第3项）所涉及场所的相关环境管理活动</w:t>
            </w:r>
          </w:p>
        </w:tc>
        <w:tc>
          <w:tcPr>
            <w:tcW w:w="2006" w:type="dxa"/>
            <w:gridSpan w:val="3"/>
            <w:vAlign w:val="center"/>
          </w:tcPr>
          <w:p>
            <w:pPr>
              <w:rPr>
                <w:rFonts w:ascii="宋体" w:hAnsi="宋体"/>
                <w:b/>
                <w:color w:val="000000"/>
                <w:szCs w:val="21"/>
              </w:rPr>
            </w:pPr>
            <w:r>
              <w:t>E：31.04.01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危险货物运输（第2类第3项）所涉及场所的相关职业健康安全管理活动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lang w:val="en-US" w:eastAsia="zh-CN"/>
              </w:rPr>
              <w:t>O</w:t>
            </w:r>
            <w: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16"/>
        <w:gridCol w:w="115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31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5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重庆洋宇物流有限公司</w:t>
            </w:r>
            <w:r>
              <w:rPr>
                <w:rFonts w:hint="eastAsia"/>
                <w:sz w:val="21"/>
                <w:szCs w:val="21"/>
                <w:lang w:val="en-US" w:eastAsia="zh-CN"/>
              </w:rPr>
              <w:t>/</w:t>
            </w:r>
            <w:r>
              <w:rPr>
                <w:sz w:val="21"/>
                <w:szCs w:val="21"/>
              </w:rPr>
              <w:t>重庆市潼南区太安镇滩石路89号</w:t>
            </w:r>
          </w:p>
        </w:tc>
        <w:tc>
          <w:tcPr>
            <w:tcW w:w="2267" w:type="dxa"/>
          </w:tcPr>
          <w:p>
            <w:pPr>
              <w:spacing w:before="40" w:after="40"/>
              <w:rPr>
                <w:rFonts w:eastAsia="黑体"/>
                <w:szCs w:val="21"/>
                <w:lang w:val="de-DE" w:eastAsia="ja-JP"/>
              </w:rPr>
            </w:pPr>
            <w:r>
              <w:rPr>
                <w:sz w:val="21"/>
                <w:szCs w:val="21"/>
              </w:rPr>
              <w:t>重庆市潼南区梓潼街道建设东路66号9幢第一层1-6号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36</w:t>
            </w:r>
          </w:p>
        </w:tc>
        <w:tc>
          <w:tcPr>
            <w:tcW w:w="2316" w:type="dxa"/>
            <w:vAlign w:val="center"/>
          </w:tcPr>
          <w:p>
            <w:pPr>
              <w:pStyle w:val="20"/>
              <w:rPr>
                <w:rFonts w:eastAsia="黑体" w:cs="Arial"/>
                <w:sz w:val="21"/>
                <w:szCs w:val="21"/>
                <w:lang w:val="en-US" w:eastAsia="ja-JP"/>
              </w:rPr>
            </w:pPr>
            <w:r>
              <w:t>危险货物运输（第2类第3项）</w:t>
            </w:r>
          </w:p>
        </w:tc>
        <w:tc>
          <w:tcPr>
            <w:tcW w:w="1156" w:type="dxa"/>
            <w:vAlign w:val="center"/>
          </w:tcPr>
          <w:p>
            <w:pPr>
              <w:spacing w:before="40" w:after="40"/>
              <w:rPr>
                <w:rFonts w:eastAsia="黑体"/>
                <w:szCs w:val="21"/>
                <w:lang w:eastAsia="ja-JP"/>
              </w:rPr>
            </w:pPr>
            <w:r>
              <w:rPr>
                <w:rFonts w:hint="eastAsia" w:ascii="宋体" w:hAnsi="宋体"/>
                <w:b/>
                <w:sz w:val="21"/>
                <w:szCs w:val="21"/>
              </w:rPr>
              <w:t>GB/T19001-2016</w:t>
            </w:r>
            <w:r>
              <w:rPr>
                <w:rFonts w:hint="eastAsia" w:ascii="宋体" w:hAnsi="宋体"/>
                <w:b/>
                <w:sz w:val="21"/>
                <w:szCs w:val="21"/>
                <w:lang w:val="en-US" w:eastAsia="zh-CN"/>
              </w:rPr>
              <w:t>；</w:t>
            </w:r>
            <w:r>
              <w:rPr>
                <w:rFonts w:hint="eastAsia" w:ascii="宋体" w:hAnsi="宋体"/>
                <w:b/>
                <w:sz w:val="21"/>
                <w:szCs w:val="21"/>
              </w:rPr>
              <w:t>GB/T24001-2016</w:t>
            </w:r>
            <w:r>
              <w:rPr>
                <w:rFonts w:hint="eastAsia" w:ascii="宋体" w:hAnsi="宋体"/>
                <w:b/>
                <w:sz w:val="21"/>
                <w:szCs w:val="21"/>
                <w:lang w:val="en-US" w:eastAsia="zh-CN"/>
              </w:rPr>
              <w:t>；</w:t>
            </w: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MS Gothic" w:hAnsi="MS Gothic" w:eastAsia="黑体" w:cs="Segoe UI Symbol"/>
                    <w:szCs w:val="21"/>
                    <w:lang w:eastAsia="zh-CN"/>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6" w:type="dxa"/>
            <w:vAlign w:val="center"/>
          </w:tcPr>
          <w:p>
            <w:pPr>
              <w:spacing w:before="40" w:after="40"/>
              <w:rPr>
                <w:rFonts w:eastAsia="黑体"/>
                <w:szCs w:val="21"/>
                <w:lang w:eastAsia="ja-JP"/>
              </w:rPr>
            </w:pPr>
          </w:p>
        </w:tc>
        <w:tc>
          <w:tcPr>
            <w:tcW w:w="115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6" w:type="dxa"/>
            <w:vAlign w:val="center"/>
          </w:tcPr>
          <w:p>
            <w:pPr>
              <w:spacing w:before="40" w:after="40"/>
              <w:rPr>
                <w:rFonts w:eastAsia="黑体"/>
                <w:szCs w:val="21"/>
                <w:lang w:eastAsia="ja-JP"/>
              </w:rPr>
            </w:pPr>
          </w:p>
        </w:tc>
        <w:tc>
          <w:tcPr>
            <w:tcW w:w="115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6" w:type="dxa"/>
            <w:vAlign w:val="center"/>
          </w:tcPr>
          <w:p>
            <w:pPr>
              <w:spacing w:before="40" w:after="40"/>
              <w:rPr>
                <w:rFonts w:eastAsia="黑体"/>
                <w:szCs w:val="21"/>
                <w:lang w:eastAsia="ja-JP"/>
              </w:rPr>
            </w:pPr>
          </w:p>
        </w:tc>
        <w:tc>
          <w:tcPr>
            <w:tcW w:w="115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6" w:type="dxa"/>
            <w:vAlign w:val="center"/>
          </w:tcPr>
          <w:p>
            <w:pPr>
              <w:spacing w:before="40" w:after="40"/>
              <w:rPr>
                <w:rFonts w:eastAsia="黑体"/>
                <w:szCs w:val="21"/>
                <w:lang w:eastAsia="ja-JP"/>
              </w:rPr>
            </w:pPr>
          </w:p>
        </w:tc>
        <w:tc>
          <w:tcPr>
            <w:tcW w:w="115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2021年05</w:t>
            </w:r>
            <w:r>
              <w:rPr>
                <w:rFonts w:hint="eastAsia" w:ascii="宋体" w:hAnsi="宋体"/>
                <w:b/>
                <w:color w:val="000000"/>
                <w:szCs w:val="21"/>
                <w:u w:val="single"/>
              </w:rPr>
              <w:t>月</w:t>
            </w:r>
            <w:r>
              <w:rPr>
                <w:rFonts w:hint="eastAsia" w:ascii="宋体" w:hAnsi="宋体"/>
                <w:b/>
                <w:color w:val="000000"/>
                <w:szCs w:val="21"/>
                <w:u w:val="single"/>
                <w:lang w:val="en-US" w:eastAsia="zh-CN"/>
              </w:rPr>
              <w:t>06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 年1 月 11日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bCs/>
                <w:color w:val="000000"/>
                <w:kern w:val="2"/>
                <w:sz w:val="21"/>
                <w:szCs w:val="18"/>
                <w:u w:val="single"/>
                <w:lang w:val="en-US" w:eastAsia="zh-CN" w:bidi="ar-SA"/>
              </w:rPr>
              <w:t xml:space="preserve"> </w:t>
            </w:r>
            <w:r>
              <w:rPr>
                <w:rFonts w:hint="eastAsia" w:ascii="宋体" w:hAnsi="宋体" w:eastAsia="宋体" w:cs="Times New Roman"/>
                <w:b/>
                <w:color w:val="000000"/>
                <w:kern w:val="2"/>
                <w:sz w:val="21"/>
                <w:szCs w:val="21"/>
                <w:u w:val="single"/>
                <w:lang w:val="en-US" w:eastAsia="zh-CN" w:bidi="ar-SA"/>
              </w:rPr>
              <w:t>2021年1 月25日</w:t>
            </w:r>
            <w:r>
              <w:rPr>
                <w:rFonts w:hint="eastAsia" w:ascii="Times New Roman" w:hAnsi="Times New Roman" w:eastAsia="宋体" w:cs="Times New Roman"/>
                <w:b w:val="0"/>
                <w:color w:val="000000"/>
                <w:kern w:val="2"/>
                <w:sz w:val="21"/>
                <w:szCs w:val="18"/>
                <w:u w:val="none"/>
                <w:lang w:val="en-US" w:eastAsia="zh-CN" w:bidi="ar-SA"/>
              </w:rPr>
              <w:t>完</w:t>
            </w:r>
            <w:r>
              <w:rPr>
                <w:rFonts w:hint="eastAsia" w:ascii="宋体" w:hAnsi="宋体" w:eastAsia="宋体"/>
                <w:color w:val="000000"/>
                <w:sz w:val="21"/>
                <w:szCs w:val="21"/>
                <w:u w:val="none"/>
                <w:lang w:val="en-US" w:eastAsia="zh-CN"/>
              </w:rPr>
              <w:t>成管理</w:t>
            </w:r>
            <w:r>
              <w:rPr>
                <w:rFonts w:hint="eastAsia" w:ascii="宋体" w:hAnsi="宋体" w:eastAsia="宋体"/>
                <w:color w:val="000000"/>
                <w:sz w:val="21"/>
                <w:szCs w:val="21"/>
                <w:lang w:val="en-US" w:eastAsia="zh-CN"/>
              </w:rPr>
              <w:t>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5626"/>
        <w:gridCol w:w="376"/>
        <w:gridCol w:w="627"/>
        <w:gridCol w:w="290"/>
        <w:gridCol w:w="150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26" w:type="dxa"/>
          <w:cantSplit/>
          <w:trHeight w:val="57" w:hRule="atLeast"/>
        </w:trPr>
        <w:tc>
          <w:tcPr>
            <w:tcW w:w="9754" w:type="dxa"/>
            <w:gridSpan w:val="8"/>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9754" w:type="dxa"/>
            <w:gridSpan w:val="8"/>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是   </w:t>
            </w:r>
            <w:r>
              <w:rPr>
                <w:rFonts w:hint="eastAsia" w:ascii="宋体" w:hAnsi="宋体"/>
                <w:color w:val="000000"/>
                <w:spacing w:val="-10"/>
                <w:szCs w:val="21"/>
                <w:lang w:val="en-US" w:eastAsia="zh-CN"/>
              </w:rPr>
              <w:t xml:space="preserve"> </w:t>
            </w:r>
            <w:r>
              <w:rPr>
                <w:rFonts w:hint="eastAsia" w:ascii="宋体" w:hAnsi="宋体"/>
                <w:color w:val="000000"/>
                <w:spacing w:val="-10"/>
                <w:szCs w:val="21"/>
                <w:lang w:eastAsia="zh-CN"/>
              </w:rPr>
              <w:t>□</w:t>
            </w:r>
            <w:r>
              <w:rPr>
                <w:rFonts w:hint="eastAsia" w:ascii="宋体" w:hAnsi="宋体"/>
                <w:color w:val="000000"/>
                <w:spacing w:val="-10"/>
                <w:szCs w:val="21"/>
              </w:rPr>
              <w:t xml:space="preserve">否  </w:t>
            </w:r>
            <w:r>
              <w:rPr>
                <w:rFonts w:hint="eastAsia" w:ascii="宋体" w:hAnsi="宋体"/>
                <w:color w:val="000000"/>
                <w:spacing w:val="-10"/>
                <w:szCs w:val="21"/>
                <w:lang w:val="en-US" w:eastAsia="zh-CN"/>
              </w:rPr>
              <w:t xml:space="preserve">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5"/>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b/>
                <w:color w:val="000000"/>
                <w:szCs w:val="21"/>
                <w:lang w:val="en-US" w:eastAsia="zh-CN"/>
              </w:rPr>
              <w:t xml:space="preserve">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2022-04-1</w:t>
            </w:r>
            <w:bookmarkEnd w:id="33"/>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危险货物运输（第2类第3项）所涉及场所的相关环境管理活动</w:t>
            </w:r>
          </w:p>
        </w:tc>
        <w:tc>
          <w:tcPr>
            <w:tcW w:w="1541" w:type="dxa"/>
            <w:vAlign w:val="center"/>
          </w:tcPr>
          <w:p>
            <w:r>
              <w:t>E：31.04.01</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危险货物运输（第2类第3项）所涉及场所的相关职业健康安全管理活动</w:t>
            </w:r>
          </w:p>
        </w:tc>
        <w:tc>
          <w:tcPr>
            <w:tcW w:w="1541" w:type="dxa"/>
            <w:vAlign w:val="center"/>
          </w:tcPr>
          <w:p>
            <w:pPr>
              <w:spacing w:line="400" w:lineRule="exact"/>
              <w:rPr>
                <w:rFonts w:ascii="宋体" w:hAnsi="宋体"/>
                <w:b/>
                <w:color w:val="000000"/>
                <w:szCs w:val="21"/>
              </w:rPr>
            </w:pPr>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1743710</wp:posOffset>
            </wp:positionH>
            <wp:positionV relativeFrom="paragraph">
              <wp:posOffset>17145</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3360" behindDoc="0" locked="0" layoutInCell="1" allowOverlap="1">
            <wp:simplePos x="0" y="0"/>
            <wp:positionH relativeFrom="column">
              <wp:posOffset>4728210</wp:posOffset>
            </wp:positionH>
            <wp:positionV relativeFrom="paragraph">
              <wp:posOffset>4445</wp:posOffset>
            </wp:positionV>
            <wp:extent cx="812800" cy="400050"/>
            <wp:effectExtent l="0" t="0" r="10160" b="11430"/>
            <wp:wrapNone/>
            <wp:docPr id="3"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2022年4月11日</w:t>
      </w:r>
      <w:r>
        <w:rPr>
          <w:rFonts w:ascii="宋体" w:hAnsi="宋体"/>
          <w:b/>
          <w:color w:val="000000"/>
          <w:szCs w:val="21"/>
        </w:rPr>
        <w:t xml:space="preserve">  </w:t>
      </w:r>
    </w:p>
    <w:p>
      <w:pPr>
        <w:ind w:firstLine="843" w:firstLineChars="400"/>
        <w:rPr>
          <w:rFonts w:ascii="宋体"/>
          <w:b/>
          <w:color w:val="000000"/>
          <w:szCs w:val="21"/>
        </w:rPr>
      </w:pP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重庆洋宇物流有限公司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4" w:name="_GoBack"/>
            <w:bookmarkEnd w:id="34"/>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736" w:type="dxa"/>
            <w:gridSpan w:val="2"/>
            <w:vAlign w:val="top"/>
          </w:tcPr>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638810</wp:posOffset>
                  </wp:positionH>
                  <wp:positionV relativeFrom="paragraph">
                    <wp:posOffset>-5715</wp:posOffset>
                  </wp:positionV>
                  <wp:extent cx="781050" cy="384175"/>
                  <wp:effectExtent l="0" t="0" r="11430" b="12065"/>
                  <wp:wrapNone/>
                  <wp:docPr id="6"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6f6c635d400c29486ef2a72372c844e"/>
                          <pic:cNvPicPr>
                            <a:picLocks noChangeAspect="1"/>
                          </pic:cNvPicPr>
                        </pic:nvPicPr>
                        <pic:blipFill>
                          <a:blip r:embed="rId6"/>
                          <a:stretch>
                            <a:fillRect/>
                          </a:stretch>
                        </pic:blipFill>
                        <pic:spPr>
                          <a:xfrm>
                            <a:off x="0" y="0"/>
                            <a:ext cx="781050" cy="38417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vAlign w:val="top"/>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陈凤</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推荐意见：</w:t>
            </w:r>
            <w:r>
              <w:rPr>
                <w:rFonts w:hint="eastAsia" w:ascii="Times New Roman" w:hAnsi="Times New Roman" w:eastAsia="宋体" w:cs="Times New Roman"/>
                <w:b/>
                <w:color w:val="000000"/>
                <w:szCs w:val="21"/>
                <w:lang w:eastAsia="zh-CN"/>
              </w:rPr>
              <w:t>■</w:t>
            </w:r>
            <w:r>
              <w:rPr>
                <w:rFonts w:hint="eastAsia" w:ascii="Times New Roman" w:hAnsi="Times New Roman" w:eastAsia="宋体" w:cs="Times New Roman"/>
                <w:b/>
                <w:color w:val="000000"/>
                <w:szCs w:val="21"/>
              </w:rPr>
              <w:t>可进行二阶段审核□需再次安排一阶段审核□不进入二阶段审核</w:t>
            </w:r>
            <w:r>
              <w:rPr>
                <w:rFonts w:hint="eastAsia" w:ascii="Times New Roman" w:hAnsi="Times New Roman" w:eastAsia="宋体" w:cs="Times New Roman"/>
                <w:b/>
                <w:color w:val="000000"/>
                <w:szCs w:val="21"/>
              </w:rPr>
              <w:tab/>
            </w:r>
          </w:p>
          <w:p>
            <w:pPr>
              <w:spacing w:line="360" w:lineRule="exact"/>
              <w:rPr>
                <w:rFonts w:hint="eastAsia" w:ascii="Times New Roman" w:hAnsi="Times New Roman" w:eastAsia="宋体" w:cs="Times New Roman"/>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607060</wp:posOffset>
                  </wp:positionH>
                  <wp:positionV relativeFrom="paragraph">
                    <wp:posOffset>194310</wp:posOffset>
                  </wp:positionV>
                  <wp:extent cx="812800" cy="400050"/>
                  <wp:effectExtent l="0" t="0" r="10160" b="11430"/>
                  <wp:wrapNone/>
                  <wp:docPr id="7"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pPr>
              <w:spacing w:line="360" w:lineRule="exact"/>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验证人：</w:t>
            </w:r>
            <w:r>
              <w:rPr>
                <w:rFonts w:hint="eastAsia" w:ascii="Times New Roman" w:hAnsi="Times New Roman" w:eastAsia="宋体" w:cs="Times New Roman"/>
                <w:b/>
                <w:color w:val="000000"/>
                <w:szCs w:val="21"/>
                <w:lang w:val="en-US" w:eastAsia="zh-CN"/>
              </w:rPr>
              <w:t xml:space="preserve">                  </w:t>
            </w:r>
            <w:r>
              <w:rPr>
                <w:rFonts w:hint="eastAsia" w:ascii="Times New Roman" w:hAnsi="Times New Roman" w:eastAsia="宋体" w:cs="Times New Roman"/>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11</w:t>
            </w:r>
            <w:r>
              <w:rPr>
                <w:rFonts w:hint="eastAsia"/>
                <w:b/>
                <w:color w:val="000000"/>
                <w:szCs w:val="21"/>
              </w:rPr>
              <w:t>日</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3344DAB"/>
    <w:rsid w:val="251C5778"/>
    <w:rsid w:val="29290A71"/>
    <w:rsid w:val="454765ED"/>
    <w:rsid w:val="60164FE0"/>
    <w:rsid w:val="7EE448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2022-04-14T06:43:02Z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