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0185-2022-QE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成都亚美包装有限公司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成都亚美包装有限公司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成都市郫都区新民场镇云凌村16组</w:t>
            </w:r>
            <w:bookmarkEnd w:id="6"/>
          </w:p>
        </w:tc>
        <w:tc>
          <w:tcPr>
            <w:tcW w:w="1242" w:type="dxa"/>
            <w:vMerge w:val="restart"/>
            <w:vAlign w:val="center"/>
          </w:tcPr>
          <w:p>
            <w:r>
              <w:rPr>
                <w:rFonts w:hint="eastAsia"/>
              </w:rPr>
              <w:t>邮编</w:t>
            </w:r>
          </w:p>
        </w:tc>
        <w:tc>
          <w:tcPr>
            <w:tcW w:w="1771" w:type="dxa"/>
          </w:tcPr>
          <w:p>
            <w:bookmarkStart w:id="7" w:name="注册邮编"/>
            <w:r>
              <w:t>611730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eastAsia="宋体"/>
              </w:rPr>
            </w:pPr>
            <w:r>
              <w:rPr>
                <w:rFonts w:hint="eastAsia" w:eastAsia="宋体"/>
              </w:rPr>
              <w:t>经营地址</w:t>
            </w:r>
          </w:p>
        </w:tc>
        <w:tc>
          <w:tcPr>
            <w:tcW w:w="5045" w:type="dxa"/>
            <w:gridSpan w:val="3"/>
          </w:tcPr>
          <w:p>
            <w:pPr>
              <w:rPr>
                <w:rFonts w:eastAsia="宋体"/>
              </w:rPr>
            </w:pPr>
            <w:r>
              <w:rPr>
                <w:rFonts w:hint="eastAsia" w:eastAsia="宋体"/>
                <w:lang w:eastAsia="zh-CN"/>
              </w:rPr>
              <w:t>成都市郫都区安德街道云凌村8组310号</w:t>
            </w:r>
          </w:p>
        </w:tc>
        <w:tc>
          <w:tcPr>
            <w:tcW w:w="1242" w:type="dxa"/>
            <w:vMerge w:val="continue"/>
            <w:vAlign w:val="center"/>
          </w:tcPr>
          <w:p/>
        </w:tc>
        <w:tc>
          <w:tcPr>
            <w:tcW w:w="1771" w:type="dxa"/>
          </w:tcPr>
          <w:p>
            <w:r>
              <w:t>611730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严清春</w:t>
            </w:r>
            <w:bookmarkEnd w:id="8"/>
          </w:p>
        </w:tc>
        <w:tc>
          <w:tcPr>
            <w:tcW w:w="1313" w:type="dxa"/>
            <w:vAlign w:val="center"/>
          </w:tcPr>
          <w:p>
            <w:r>
              <w:rPr>
                <w:rFonts w:hint="eastAsia"/>
              </w:rPr>
              <w:t>电话.</w:t>
            </w:r>
          </w:p>
        </w:tc>
        <w:tc>
          <w:tcPr>
            <w:tcW w:w="2180" w:type="dxa"/>
            <w:vAlign w:val="center"/>
          </w:tcPr>
          <w:p>
            <w:bookmarkStart w:id="9" w:name="联系人电话"/>
            <w:r>
              <w:t>15828598750</w:t>
            </w:r>
            <w:bookmarkEnd w:id="9"/>
          </w:p>
        </w:tc>
        <w:tc>
          <w:tcPr>
            <w:tcW w:w="1242" w:type="dxa"/>
            <w:vAlign w:val="center"/>
          </w:tcPr>
          <w:p>
            <w:r>
              <w:rPr>
                <w:rFonts w:hint="eastAsia"/>
              </w:rPr>
              <w:t>传真</w:t>
            </w:r>
          </w:p>
        </w:tc>
        <w:tc>
          <w:tcPr>
            <w:tcW w:w="1771" w:type="dxa"/>
          </w:tcPr>
          <w:p>
            <w:bookmarkStart w:id="10" w:name="联系人传真"/>
            <w:r>
              <w:t>15828598750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严清春</w:t>
            </w:r>
            <w:bookmarkEnd w:id="11"/>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严容</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多班次说明</w:t>
            </w:r>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受审核组织的班次：</w:t>
            </w:r>
            <w:r>
              <w:rPr>
                <w:rFonts w:hint="eastAsia" w:ascii="Times New Roman" w:hAnsi="Times New Roman" w:eastAsia="宋体" w:cs="Times New Roman"/>
              </w:rPr>
              <w:sym w:font="Wingdings 2" w:char="0052"/>
            </w:r>
            <w:r>
              <w:rPr>
                <w:rFonts w:hint="eastAsia" w:ascii="Times New Roman" w:hAnsi="Times New Roman" w:eastAsia="宋体" w:cs="Times New Roman"/>
              </w:rPr>
              <w:t>单班□双班□三班□其他</w:t>
            </w: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ascii="Times New Roman" w:hAnsi="Times New Roman" w:eastAsia="宋体" w:cs="Times New Roman"/>
              </w:rPr>
            </w:pPr>
            <w:r>
              <w:rPr>
                <w:rFonts w:hint="eastAsia" w:ascii="Times New Roman" w:hAnsi="Times New Roman" w:eastAsia="宋体" w:cs="Times New Roman"/>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生产/服务提供流程简图</w:t>
            </w:r>
          </w:p>
          <w:p>
            <w:pPr>
              <w:rPr>
                <w:rFonts w:hint="eastAsia" w:ascii="Times New Roman" w:hAnsi="Times New Roman" w:eastAsia="宋体" w:cs="Times New Roman"/>
              </w:rPr>
            </w:pPr>
          </w:p>
          <w:p>
            <w:pPr>
              <w:rPr>
                <w:rFonts w:hint="eastAsia" w:ascii="Times New Roman" w:hAnsi="Times New Roman" w:eastAsia="宋体" w:cs="Times New Roman"/>
              </w:rPr>
            </w:pPr>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印刷——成型（开槽、模切）——装订（粘接、装订）——检验——包装——入库。</w:t>
            </w:r>
          </w:p>
          <w:p>
            <w:pPr>
              <w:rPr>
                <w:rFonts w:hint="eastAsia" w:ascii="Times New Roman" w:hAnsi="Times New Roman" w:eastAsia="宋体" w:cs="Times New Roman"/>
              </w:rPr>
            </w:p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2022年04月28日 下午至2022年04月30日 上午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成都市郫都区新民场镇云凌村16组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6" w:name="审核范围"/>
            <w:r>
              <w:t>Q：纸箱的加工</w:t>
            </w:r>
          </w:p>
          <w:p>
            <w:r>
              <w:t>E：纸箱的加工所涉及场所的相关环境管理活动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Q：07.02.01;09.01.02</w:t>
            </w:r>
          </w:p>
          <w:p>
            <w:r>
              <w:t>E：07.02.01;09.01.02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lang w:val="en-US" w:eastAsia="zh-CN"/>
              </w:rPr>
              <w:t>2021年9月4日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405"/>
        <w:gridCol w:w="20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405" w:type="dxa"/>
            <w:shd w:val="clear" w:color="auto" w:fill="F3F3F3"/>
            <w:tcMar>
              <w:left w:w="57" w:type="dxa"/>
              <w:right w:w="57" w:type="dxa"/>
            </w:tcMar>
          </w:tcPr>
          <w:p>
            <w:r>
              <w:rPr>
                <w:rFonts w:hint="eastAsia"/>
              </w:rPr>
              <w:t>审核范围（产品和过程）</w:t>
            </w:r>
          </w:p>
          <w:p/>
          <w:p/>
        </w:tc>
        <w:tc>
          <w:tcPr>
            <w:tcW w:w="206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成都亚美包装有限公司</w:t>
            </w:r>
            <w:r>
              <w:rPr>
                <w:rFonts w:hint="eastAsia"/>
                <w:sz w:val="21"/>
                <w:szCs w:val="21"/>
                <w:lang w:val="en-US" w:eastAsia="zh-CN"/>
              </w:rPr>
              <w:t>/</w:t>
            </w:r>
            <w:r>
              <w:rPr>
                <w:rFonts w:hint="eastAsia" w:eastAsia="宋体"/>
                <w:lang w:eastAsia="zh-CN"/>
              </w:rPr>
              <w:t>成都市郫都区安德街道云凌村8组310号</w:t>
            </w:r>
          </w:p>
        </w:tc>
        <w:tc>
          <w:tcPr>
            <w:tcW w:w="2267" w:type="dxa"/>
          </w:tcPr>
          <w:p>
            <w:pPr>
              <w:rPr>
                <w:lang w:val="de-DE" w:eastAsia="ja-JP"/>
              </w:rPr>
            </w:pPr>
            <w:r>
              <w:rPr>
                <w:rFonts w:hint="eastAsia" w:eastAsia="宋体"/>
                <w:lang w:eastAsia="zh-CN"/>
              </w:rPr>
              <w:t>成都市郫都区安德街道云凌村8组310号</w:t>
            </w:r>
            <w:bookmarkStart w:id="31" w:name="_GoBack"/>
            <w:bookmarkEnd w:id="31"/>
          </w:p>
        </w:tc>
        <w:tc>
          <w:tcPr>
            <w:tcW w:w="571" w:type="dxa"/>
            <w:vAlign w:val="center"/>
          </w:tcPr>
          <w:p>
            <w:pPr>
              <w:rPr>
                <w:rFonts w:hint="default" w:eastAsia="宋体"/>
                <w:lang w:val="en-US" w:eastAsia="zh-CN"/>
              </w:rPr>
            </w:pPr>
            <w:r>
              <w:rPr>
                <w:rFonts w:hint="eastAsia"/>
                <w:lang w:val="en-US" w:eastAsia="zh-CN"/>
              </w:rPr>
              <w:t>21</w:t>
            </w:r>
          </w:p>
        </w:tc>
        <w:tc>
          <w:tcPr>
            <w:tcW w:w="1405" w:type="dxa"/>
            <w:vAlign w:val="center"/>
          </w:tcPr>
          <w:p>
            <w:pPr>
              <w:rPr>
                <w:lang w:eastAsia="ja-JP"/>
              </w:rPr>
            </w:pPr>
            <w:r>
              <w:rPr>
                <w:sz w:val="20"/>
              </w:rPr>
              <w:t>纸箱的加工</w:t>
            </w:r>
          </w:p>
        </w:tc>
        <w:tc>
          <w:tcPr>
            <w:tcW w:w="2067"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05" w:type="dxa"/>
            <w:vAlign w:val="center"/>
          </w:tcPr>
          <w:p>
            <w:pPr>
              <w:rPr>
                <w:lang w:eastAsia="ja-JP"/>
              </w:rPr>
            </w:pPr>
          </w:p>
        </w:tc>
        <w:tc>
          <w:tcPr>
            <w:tcW w:w="206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05" w:type="dxa"/>
            <w:vAlign w:val="center"/>
          </w:tcPr>
          <w:p>
            <w:pPr>
              <w:rPr>
                <w:lang w:eastAsia="ja-JP"/>
              </w:rPr>
            </w:pPr>
          </w:p>
        </w:tc>
        <w:tc>
          <w:tcPr>
            <w:tcW w:w="206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05" w:type="dxa"/>
            <w:vAlign w:val="center"/>
          </w:tcPr>
          <w:p>
            <w:pPr>
              <w:rPr>
                <w:lang w:eastAsia="ja-JP"/>
              </w:rPr>
            </w:pPr>
          </w:p>
        </w:tc>
        <w:tc>
          <w:tcPr>
            <w:tcW w:w="206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405" w:type="dxa"/>
            <w:vAlign w:val="center"/>
          </w:tcPr>
          <w:p>
            <w:pPr>
              <w:rPr>
                <w:lang w:eastAsia="ja-JP"/>
              </w:rPr>
            </w:pPr>
          </w:p>
        </w:tc>
        <w:tc>
          <w:tcPr>
            <w:tcW w:w="2067"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p>
            <w:r>
              <w:t>2019-N1EMS-1242345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谢梦洋</w:t>
            </w:r>
          </w:p>
        </w:tc>
        <w:tc>
          <w:tcPr>
            <w:tcW w:w="1089" w:type="dxa"/>
            <w:vAlign w:val="center"/>
          </w:tcPr>
          <w:p>
            <w:r>
              <w:t>组员</w:t>
            </w:r>
          </w:p>
        </w:tc>
        <w:tc>
          <w:tcPr>
            <w:tcW w:w="711" w:type="dxa"/>
            <w:vAlign w:val="center"/>
          </w:tcPr>
          <w:p>
            <w:r>
              <w:t>女</w:t>
            </w:r>
          </w:p>
        </w:tc>
        <w:tc>
          <w:tcPr>
            <w:tcW w:w="3870" w:type="dxa"/>
            <w:vAlign w:val="center"/>
          </w:tcPr>
          <w:p>
            <w:r>
              <w:t>成都和立包装材料有限公司</w:t>
            </w:r>
          </w:p>
        </w:tc>
        <w:tc>
          <w:tcPr>
            <w:tcW w:w="2179" w:type="dxa"/>
            <w:vAlign w:val="center"/>
          </w:tcPr>
          <w:p>
            <w:r>
              <w:t>Q:07.02.01,09.01.02</w:t>
            </w:r>
          </w:p>
          <w:p>
            <w:r>
              <w:t>E:07.02.01,09.01.02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2022年04月30日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w:t>
            </w:r>
            <w:r>
              <w:rPr>
                <w:rFonts w:hint="eastAsia" w:ascii="Times New Roman" w:hAnsi="Times New Roman" w:eastAsia="宋体" w:cs="Times New Roman"/>
              </w:rPr>
              <w:t>针：以</w:t>
            </w:r>
            <w:r>
              <w:rPr>
                <w:rFonts w:hint="eastAsia" w:ascii="Times New Roman" w:hAnsi="Times New Roman" w:eastAsia="宋体" w:cs="Times New Roman"/>
                <w:lang w:val="en-US" w:eastAsia="zh-CN"/>
              </w:rPr>
              <w:t>高质量生产</w:t>
            </w:r>
            <w:r>
              <w:rPr>
                <w:rFonts w:hint="eastAsia" w:ascii="Times New Roman" w:hAnsi="Times New Roman" w:eastAsia="宋体" w:cs="Times New Roman"/>
              </w:rPr>
              <w:t>、优质服务，不断追求质量的持续改进，向顾客与社会提供</w:t>
            </w:r>
            <w:r>
              <w:rPr>
                <w:rFonts w:hint="eastAsia" w:ascii="Times New Roman" w:hAnsi="Times New Roman" w:eastAsia="宋体" w:cs="Times New Roman"/>
                <w:lang w:val="en-US" w:eastAsia="zh-CN"/>
              </w:rPr>
              <w:t>高质量产品</w:t>
            </w:r>
            <w:r>
              <w:rPr>
                <w:rFonts w:hint="eastAsia" w:ascii="Times New Roman" w:hAnsi="Times New Roman" w:eastAsia="宋体" w:cs="Times New Roman"/>
              </w:rPr>
              <w:t>。</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w:t>
            </w:r>
            <w:r>
              <w:rPr>
                <w:rFonts w:hint="eastAsia"/>
                <w:lang w:val="en-GB"/>
              </w:rPr>
              <w:t>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lang w:val="en-US" w:eastAsia="zh-CN"/>
                    </w:rPr>
                  </w:pPr>
                  <w:r>
                    <w:rPr>
                      <w:rFonts w:hint="eastAsia" w:ascii="Times New Roman" w:hAnsi="Times New Roman" w:cs="Times New Roman"/>
                      <w:color w:val="000000"/>
                      <w:szCs w:val="18"/>
                      <w:lang w:eastAsia="zh-CN"/>
                    </w:rPr>
                    <w:t>产品一次交检合格率达到100%</w:t>
                  </w:r>
                </w:p>
              </w:tc>
              <w:tc>
                <w:tcPr>
                  <w:tcW w:w="3136" w:type="dxa"/>
                  <w:shd w:val="clear" w:color="auto" w:fill="auto"/>
                  <w:vAlign w:val="center"/>
                </w:tcPr>
                <w:p>
                  <w:pPr>
                    <w:widowControl/>
                    <w:spacing w:before="40"/>
                    <w:jc w:val="left"/>
                    <w:rPr>
                      <w:rFonts w:hint="default" w:eastAsia="宋体"/>
                      <w:lang w:val="en-US" w:eastAsia="zh-CN"/>
                    </w:rPr>
                  </w:pPr>
                  <w:r>
                    <w:rPr>
                      <w:rFonts w:hint="eastAsia" w:ascii="Times New Roman" w:hAnsi="Times New Roman" w:cs="Times New Roman"/>
                      <w:color w:val="000000"/>
                      <w:szCs w:val="18"/>
                      <w:lang w:val="en-US" w:eastAsia="zh-CN"/>
                    </w:rPr>
                    <w:t>产品交验数数/总交验数*100%</w:t>
                  </w:r>
                </w:p>
              </w:tc>
              <w:tc>
                <w:tcPr>
                  <w:tcW w:w="1350" w:type="dxa"/>
                  <w:shd w:val="clear" w:color="auto" w:fill="auto"/>
                  <w:vAlign w:val="center"/>
                </w:tcPr>
                <w:p>
                  <w:pPr>
                    <w:widowControl/>
                    <w:spacing w:before="40"/>
                    <w:jc w:val="left"/>
                    <w:rPr>
                      <w:rFonts w:hint="default" w:eastAsia="宋体"/>
                      <w:lang w:val="en-US" w:eastAsia="zh-CN"/>
                    </w:rPr>
                  </w:pPr>
                  <w:r>
                    <w:rPr>
                      <w:rFonts w:hint="eastAsia" w:eastAsia="宋体"/>
                      <w:lang w:val="en-US" w:eastAsia="zh-CN"/>
                    </w:rPr>
                    <w:t>生产技术部</w:t>
                  </w:r>
                </w:p>
              </w:tc>
              <w:tc>
                <w:tcPr>
                  <w:tcW w:w="1774" w:type="dxa"/>
                  <w:shd w:val="clear" w:color="auto" w:fill="auto"/>
                  <w:vAlign w:val="center"/>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lang w:val="en-US" w:eastAsia="zh-CN"/>
                    </w:rPr>
                  </w:pPr>
                  <w:r>
                    <w:rPr>
                      <w:rFonts w:hint="eastAsia" w:ascii="Times New Roman" w:hAnsi="Times New Roman" w:cs="Times New Roman"/>
                      <w:color w:val="000000"/>
                      <w:szCs w:val="18"/>
                    </w:rPr>
                    <w:t>合同履约率100％；</w:t>
                  </w:r>
                </w:p>
              </w:tc>
              <w:tc>
                <w:tcPr>
                  <w:tcW w:w="3136" w:type="dxa"/>
                  <w:shd w:val="clear" w:color="auto" w:fill="auto"/>
                  <w:vAlign w:val="center"/>
                </w:tcPr>
                <w:p>
                  <w:pPr>
                    <w:widowControl/>
                    <w:spacing w:before="40"/>
                    <w:jc w:val="left"/>
                    <w:rPr>
                      <w:rFonts w:hint="default" w:eastAsia="宋体"/>
                      <w:lang w:val="en-US" w:eastAsia="zh-CN"/>
                    </w:rPr>
                  </w:pPr>
                  <w:r>
                    <w:rPr>
                      <w:rFonts w:hint="eastAsia" w:ascii="Times New Roman" w:hAnsi="Times New Roman" w:cs="Times New Roman"/>
                      <w:color w:val="000000"/>
                      <w:szCs w:val="18"/>
                      <w:lang w:val="en-US" w:eastAsia="zh-CN"/>
                    </w:rPr>
                    <w:t>实际履约次数/需履约总次数*100%</w:t>
                  </w:r>
                </w:p>
              </w:tc>
              <w:tc>
                <w:tcPr>
                  <w:tcW w:w="1350" w:type="dxa"/>
                  <w:shd w:val="clear" w:color="auto" w:fill="auto"/>
                  <w:vAlign w:val="center"/>
                </w:tcPr>
                <w:p>
                  <w:pPr>
                    <w:widowControl/>
                    <w:spacing w:before="40"/>
                    <w:jc w:val="left"/>
                    <w:rPr>
                      <w:rFonts w:hint="default" w:eastAsia="宋体"/>
                      <w:lang w:val="en-US" w:eastAsia="zh-CN"/>
                    </w:rPr>
                  </w:pPr>
                  <w:r>
                    <w:rPr>
                      <w:rFonts w:hint="eastAsia" w:eastAsia="宋体"/>
                      <w:lang w:val="en-US" w:eastAsia="zh-CN"/>
                    </w:rPr>
                    <w:t>市场部</w:t>
                  </w:r>
                </w:p>
              </w:tc>
              <w:tc>
                <w:tcPr>
                  <w:tcW w:w="1774" w:type="dxa"/>
                  <w:shd w:val="clear" w:color="auto" w:fill="auto"/>
                  <w:vAlign w:val="center"/>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lang w:val="en-US" w:eastAsia="zh-CN"/>
                    </w:rPr>
                  </w:pPr>
                  <w:r>
                    <w:rPr>
                      <w:rFonts w:hint="eastAsia" w:ascii="Times New Roman" w:hAnsi="Times New Roman" w:cs="Times New Roman"/>
                      <w:color w:val="000000"/>
                      <w:szCs w:val="18"/>
                      <w:lang w:eastAsia="zh-CN"/>
                    </w:rPr>
                    <w:t>顾客满意度≥90分</w:t>
                  </w:r>
                </w:p>
              </w:tc>
              <w:tc>
                <w:tcPr>
                  <w:tcW w:w="3136" w:type="dxa"/>
                  <w:shd w:val="clear" w:color="auto" w:fill="auto"/>
                  <w:vAlign w:val="center"/>
                </w:tcPr>
                <w:p>
                  <w:pPr>
                    <w:widowControl/>
                    <w:spacing w:before="40"/>
                    <w:jc w:val="left"/>
                    <w:rPr>
                      <w:rFonts w:hint="default" w:eastAsia="宋体"/>
                      <w:lang w:val="en-US" w:eastAsia="zh-CN"/>
                    </w:rPr>
                  </w:pPr>
                  <w:r>
                    <w:rPr>
                      <w:rFonts w:hint="eastAsia" w:ascii="Times New Roman" w:hAnsi="Times New Roman" w:cs="Times New Roman"/>
                      <w:color w:val="000000"/>
                      <w:szCs w:val="18"/>
                      <w:lang w:val="en-US" w:eastAsia="zh-CN"/>
                    </w:rPr>
                    <w:t>查客户满意率平均值</w:t>
                  </w:r>
                </w:p>
              </w:tc>
              <w:tc>
                <w:tcPr>
                  <w:tcW w:w="1350" w:type="dxa"/>
                  <w:shd w:val="clear" w:color="auto" w:fill="auto"/>
                  <w:vAlign w:val="center"/>
                </w:tcPr>
                <w:p>
                  <w:pPr>
                    <w:widowControl/>
                    <w:spacing w:before="40"/>
                    <w:jc w:val="left"/>
                    <w:rPr>
                      <w:rFonts w:hint="default" w:eastAsia="宋体"/>
                      <w:lang w:val="en-US" w:eastAsia="zh-CN"/>
                    </w:rPr>
                  </w:pPr>
                  <w:r>
                    <w:rPr>
                      <w:rFonts w:hint="eastAsia" w:eastAsia="宋体"/>
                      <w:lang w:val="en-US" w:eastAsia="zh-CN"/>
                    </w:rPr>
                    <w:t>市场部</w:t>
                  </w:r>
                </w:p>
              </w:tc>
              <w:tc>
                <w:tcPr>
                  <w:tcW w:w="1774" w:type="dxa"/>
                  <w:shd w:val="clear" w:color="auto" w:fill="auto"/>
                  <w:vAlign w:val="center"/>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color w:val="000000"/>
                      <w:szCs w:val="18"/>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rPr>
              <w:t>建筑面积</w:t>
            </w:r>
            <w:r>
              <w:rPr>
                <w:rFonts w:hint="eastAsia" w:ascii="Times New Roman" w:hAnsi="Times New Roman" w:eastAsia="宋体" w:cs="Times New Roman"/>
                <w:lang w:val="en-US" w:eastAsia="zh-CN"/>
              </w:rPr>
              <w:t>2000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主要生产设备有：办公设备、办公设备、印刷机、轮转开槽机、裱纸机、模切机、装钉机、打包机、切纸机等</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钢直尺、钢卷尺、游标卡尺</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eastAsia="宋体"/>
                      <w:lang w:val="en-US" w:eastAsia="zh-CN"/>
                    </w:rPr>
                  </w:pPr>
                  <w:r>
                    <w:rPr>
                      <w:sz w:val="20"/>
                    </w:rPr>
                    <w:t>纸箱的加工</w:t>
                  </w:r>
                </w:p>
              </w:tc>
              <w:tc>
                <w:tcPr>
                  <w:tcW w:w="2528" w:type="dxa"/>
                </w:tcPr>
                <w:p>
                  <w:pPr>
                    <w:shd w:val="clear" w:color="auto" w:fill="C7DAF1" w:themeFill="text2" w:themeFillTint="32"/>
                    <w:jc w:val="left"/>
                    <w:rPr>
                      <w:rFonts w:hint="default" w:eastAsia="宋体"/>
                      <w:lang w:val="en-US" w:eastAsia="zh-CN"/>
                    </w:rPr>
                  </w:pPr>
                  <w:r>
                    <w:rPr>
                      <w:rFonts w:hint="eastAsia" w:ascii="宋体" w:hAnsi="宋体"/>
                      <w:szCs w:val="21"/>
                      <w:highlight w:val="none"/>
                      <w:lang w:val="en-US" w:eastAsia="zh-CN"/>
                    </w:rPr>
                    <w:t>成型、印刷</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lang w:val="en-US" w:eastAsia="zh-CN"/>
              </w:rPr>
              <w:t>无</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国家包装产品质量监督检验中心（成都）对瓦楞纸箱的检验检测报告，编号：ABZB121W02380</w:t>
            </w:r>
            <w:r>
              <w:rPr>
                <w:rFonts w:hint="eastAsia" w:ascii="Times New Roman" w:hAnsi="Times New Roman" w:eastAsia="宋体" w:cs="Times New Roman"/>
                <w:u w:val="single"/>
              </w:rPr>
              <w:t xml:space="preserve">         </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12</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8</w:t>
            </w:r>
            <w:r>
              <w:rPr>
                <w:rFonts w:hint="eastAsia"/>
                <w:highlight w:val="none"/>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pStyle w:val="3"/>
      </w:pPr>
    </w:p>
    <w:p>
      <w:pPr>
        <w:pStyle w:val="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imes New Roman" w:hAnsi="Times New Roman" w:eastAsia="宋体" w:cs="Times New Roman"/>
              </w:rPr>
              <w:t>污染预防，全员环保，自觉遵守国家和地方有关环境保护方面的法律法规，并保障所需资源的投入。</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color w:val="000000"/>
                <w:szCs w:val="18"/>
                <w:lang w:val="en-US" w:eastAsia="zh-CN"/>
              </w:rPr>
              <w:t>915101246962724848001P</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2016年4月</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A3"/>
            </w:r>
            <w:r>
              <w:rPr>
                <w:rFonts w:hint="eastAsia"/>
              </w:rPr>
              <w:t>设备降噪</w:t>
            </w:r>
            <w:r>
              <w:rPr>
                <w:rFonts w:hint="eastAsia"/>
              </w:rPr>
              <w:sym w:font="Wingdings 2" w:char="0052"/>
            </w:r>
            <w:r>
              <w:rPr>
                <w:rFonts w:hint="eastAsia"/>
              </w:rPr>
              <w:t>危废合法处置</w:t>
            </w:r>
            <w:r>
              <w:rPr>
                <w:rFonts w:hint="eastAsia"/>
              </w:rPr>
              <w:sym w:font="Wingdings 2" w:char="00A3"/>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A3"/>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color w:val="000000"/>
                      <w:kern w:val="2"/>
                      <w:sz w:val="21"/>
                      <w:szCs w:val="24"/>
                      <w:lang w:val="en-US" w:eastAsia="zh-CN" w:bidi="ar-SA"/>
                    </w:rPr>
                  </w:pPr>
                  <w:r>
                    <w:rPr>
                      <w:rFonts w:hint="eastAsia" w:ascii="宋体" w:hAnsi="宋体"/>
                      <w:szCs w:val="21"/>
                      <w:lang w:eastAsia="zh-CN"/>
                    </w:rPr>
                    <w:t>固体废物（含危废）处理及时率100%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宋体" w:hAnsi="宋体" w:eastAsia="宋体" w:cs="Times New Roman"/>
                      <w:color w:val="000000"/>
                      <w:kern w:val="2"/>
                      <w:sz w:val="21"/>
                      <w:szCs w:val="24"/>
                      <w:lang w:val="en-US" w:eastAsia="zh-CN" w:bidi="ar-SA"/>
                    </w:rPr>
                  </w:pPr>
                  <w:r>
                    <w:rPr>
                      <w:rFonts w:hint="eastAsia" w:ascii="宋体" w:hAnsi="宋体"/>
                      <w:color w:val="000000"/>
                      <w:lang w:eastAsia="zh-CN"/>
                    </w:rPr>
                    <w:t>火灾事故为零</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组织应确定、提</w:t>
            </w:r>
            <w:r>
              <w:rPr>
                <w:rFonts w:hint="eastAsia" w:ascii="Times New Roman" w:hAnsi="Times New Roman" w:eastAsia="宋体" w:cs="Times New Roman"/>
              </w:rPr>
              <w:t>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2000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主要生产设备有：办公设备、办公设备、印刷机、轮转开槽机、裱纸机、模切机、装钉机、打包机、切纸机等</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主要环保设备有：</w:t>
            </w:r>
            <w:r>
              <w:rPr>
                <w:rFonts w:hint="eastAsia" w:ascii="Times New Roman" w:hAnsi="Times New Roman" w:eastAsia="宋体" w:cs="Times New Roman"/>
                <w:lang w:val="en-US" w:eastAsia="zh-CN"/>
              </w:rPr>
              <w:t>活性炭光氧废气处理装置</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日进行了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eastAsia" w:ascii="Times New Roman" w:hAnsi="Times New Roman" w:eastAsia="宋体" w:cs="Times New Roman"/>
                <w:lang w:val="en-US" w:eastAsia="zh-CN"/>
              </w:rPr>
            </w:pPr>
            <w:r>
              <w:rPr>
                <w:rFonts w:hint="eastAsia"/>
              </w:rPr>
              <w:t>《环境监测报告》编号</w:t>
            </w:r>
            <w:r>
              <w:rPr>
                <w:rFonts w:hint="eastAsia" w:ascii="Times New Roman" w:hAnsi="Times New Roman" w:eastAsia="宋体" w:cs="Times New Roman"/>
              </w:rPr>
              <w:t>：</w:t>
            </w:r>
            <w:r>
              <w:rPr>
                <w:rFonts w:hint="eastAsia" w:ascii="宋体" w:hAnsi="宋体" w:eastAsia="宋体"/>
                <w:sz w:val="21"/>
                <w:szCs w:val="21"/>
                <w:highlight w:val="none"/>
                <w:lang w:val="en-US" w:eastAsia="zh-CN"/>
              </w:rPr>
              <w:t>提供由四川成检环境检测有限公司出具的环境检测报告，报告编号：</w:t>
            </w:r>
            <w:r>
              <w:rPr>
                <w:rFonts w:hint="eastAsia" w:ascii="宋体" w:hAnsi="宋体"/>
                <w:sz w:val="21"/>
                <w:szCs w:val="21"/>
                <w:highlight w:val="none"/>
                <w:lang w:val="en-US" w:eastAsia="zh-CN"/>
              </w:rPr>
              <w:t>SCCJHJJCYXGS2854</w:t>
            </w:r>
            <w:r>
              <w:rPr>
                <w:rFonts w:hint="eastAsia" w:ascii="宋体" w:hAnsi="宋体" w:eastAsia="宋体"/>
                <w:sz w:val="21"/>
                <w:szCs w:val="21"/>
                <w:highlight w:val="none"/>
                <w:lang w:val="en-US" w:eastAsia="zh-CN"/>
              </w:rPr>
              <w:t>,报告日期：202</w:t>
            </w:r>
            <w:r>
              <w:rPr>
                <w:rFonts w:hint="eastAsia" w:ascii="宋体" w:hAnsi="宋体"/>
                <w:sz w:val="21"/>
                <w:szCs w:val="21"/>
                <w:highlight w:val="none"/>
                <w:lang w:val="en-US" w:eastAsia="zh-CN"/>
              </w:rPr>
              <w:t>2</w:t>
            </w:r>
            <w:r>
              <w:rPr>
                <w:rFonts w:hint="eastAsia" w:ascii="宋体" w:hAnsi="宋体" w:eastAsia="宋体"/>
                <w:sz w:val="21"/>
                <w:szCs w:val="21"/>
                <w:highlight w:val="none"/>
                <w:lang w:val="en-US" w:eastAsia="zh-CN"/>
              </w:rPr>
              <w:t>年0</w:t>
            </w:r>
            <w:r>
              <w:rPr>
                <w:rFonts w:hint="eastAsia" w:ascii="宋体" w:hAnsi="宋体"/>
                <w:sz w:val="21"/>
                <w:szCs w:val="21"/>
                <w:highlight w:val="none"/>
                <w:lang w:val="en-US" w:eastAsia="zh-CN"/>
              </w:rPr>
              <w:t>4</w:t>
            </w:r>
            <w:r>
              <w:rPr>
                <w:rFonts w:hint="eastAsia" w:ascii="宋体" w:hAnsi="宋体" w:eastAsia="宋体"/>
                <w:sz w:val="21"/>
                <w:szCs w:val="21"/>
                <w:highlight w:val="none"/>
                <w:lang w:val="en-US" w:eastAsia="zh-CN"/>
              </w:rPr>
              <w:t>月</w:t>
            </w:r>
            <w:r>
              <w:rPr>
                <w:rFonts w:hint="eastAsia" w:ascii="宋体" w:hAnsi="宋体"/>
                <w:sz w:val="21"/>
                <w:szCs w:val="21"/>
                <w:highlight w:val="none"/>
                <w:lang w:val="en-US" w:eastAsia="zh-CN"/>
              </w:rPr>
              <w:t>27</w:t>
            </w:r>
            <w:r>
              <w:rPr>
                <w:rFonts w:hint="eastAsia" w:ascii="宋体" w:hAnsi="宋体" w:eastAsia="宋体"/>
                <w:sz w:val="21"/>
                <w:szCs w:val="21"/>
                <w:highlight w:val="none"/>
                <w:lang w:val="en-US" w:eastAsia="zh-CN"/>
              </w:rPr>
              <w:t>日</w:t>
            </w:r>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52"/>
            </w:r>
            <w:r>
              <w:rPr>
                <w:rFonts w:hint="eastAsia"/>
              </w:rPr>
              <w:t>符合要求</w:t>
            </w:r>
            <w:r>
              <w:rPr>
                <w:rFonts w:hint="eastAsia"/>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12</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69F7723"/>
    <w:rsid w:val="07C82CA9"/>
    <w:rsid w:val="0BC1638D"/>
    <w:rsid w:val="0CF63E15"/>
    <w:rsid w:val="0D5F5E5E"/>
    <w:rsid w:val="0FD07339"/>
    <w:rsid w:val="10521CAA"/>
    <w:rsid w:val="12887C05"/>
    <w:rsid w:val="135E2714"/>
    <w:rsid w:val="13BC5DB8"/>
    <w:rsid w:val="13C92283"/>
    <w:rsid w:val="16E60250"/>
    <w:rsid w:val="177E15D6"/>
    <w:rsid w:val="189866C8"/>
    <w:rsid w:val="19E971DB"/>
    <w:rsid w:val="1A3B37AF"/>
    <w:rsid w:val="1C4C1CA3"/>
    <w:rsid w:val="1CD2111F"/>
    <w:rsid w:val="1D81597C"/>
    <w:rsid w:val="1F2C1918"/>
    <w:rsid w:val="203B0065"/>
    <w:rsid w:val="20A025BE"/>
    <w:rsid w:val="20FF5536"/>
    <w:rsid w:val="217A4BBD"/>
    <w:rsid w:val="23B56380"/>
    <w:rsid w:val="27223D2C"/>
    <w:rsid w:val="2763059A"/>
    <w:rsid w:val="27E2170E"/>
    <w:rsid w:val="291853E7"/>
    <w:rsid w:val="2A336250"/>
    <w:rsid w:val="2E1A39AF"/>
    <w:rsid w:val="2EED4C20"/>
    <w:rsid w:val="2F3A5849"/>
    <w:rsid w:val="2F4B5DEA"/>
    <w:rsid w:val="31AB2B70"/>
    <w:rsid w:val="32C15E3F"/>
    <w:rsid w:val="32EB3B6C"/>
    <w:rsid w:val="34AC732B"/>
    <w:rsid w:val="38B93DC5"/>
    <w:rsid w:val="3CE753A4"/>
    <w:rsid w:val="3D4251CC"/>
    <w:rsid w:val="3FAE21A9"/>
    <w:rsid w:val="4050500F"/>
    <w:rsid w:val="409E3FCC"/>
    <w:rsid w:val="41036525"/>
    <w:rsid w:val="43346E69"/>
    <w:rsid w:val="447B4624"/>
    <w:rsid w:val="4484797D"/>
    <w:rsid w:val="47022DDB"/>
    <w:rsid w:val="47EF665A"/>
    <w:rsid w:val="4A183041"/>
    <w:rsid w:val="4BF74ED8"/>
    <w:rsid w:val="4C387FDA"/>
    <w:rsid w:val="4C7B78B7"/>
    <w:rsid w:val="4CB37051"/>
    <w:rsid w:val="4E45017D"/>
    <w:rsid w:val="4E75004D"/>
    <w:rsid w:val="4F8B6063"/>
    <w:rsid w:val="50323E9E"/>
    <w:rsid w:val="507765E7"/>
    <w:rsid w:val="50813882"/>
    <w:rsid w:val="517D7C2E"/>
    <w:rsid w:val="55760C1C"/>
    <w:rsid w:val="5B1C04B7"/>
    <w:rsid w:val="5B4812AC"/>
    <w:rsid w:val="5CAE15E3"/>
    <w:rsid w:val="60002155"/>
    <w:rsid w:val="605D3104"/>
    <w:rsid w:val="60B44CEE"/>
    <w:rsid w:val="65091AAC"/>
    <w:rsid w:val="66AF771B"/>
    <w:rsid w:val="679D7DAB"/>
    <w:rsid w:val="69FC78AF"/>
    <w:rsid w:val="6A7324F5"/>
    <w:rsid w:val="6AF24D91"/>
    <w:rsid w:val="6B274489"/>
    <w:rsid w:val="6C2C6080"/>
    <w:rsid w:val="6D3B37DF"/>
    <w:rsid w:val="6F771D08"/>
    <w:rsid w:val="7047516D"/>
    <w:rsid w:val="70593033"/>
    <w:rsid w:val="73525D31"/>
    <w:rsid w:val="754E350B"/>
    <w:rsid w:val="7A41363F"/>
    <w:rsid w:val="7F871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2022-05-05T09:26:25Z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