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0185-2022-QE</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成都亚美包装有限公司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2022年04月27日 上午至2022年04月27日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w:t>
            </w:r>
            <w:r>
              <w:rPr>
                <w:rFonts w:hint="eastAsia" w:ascii="宋体" w:hAnsi="宋体"/>
                <w:b/>
                <w:color w:val="000000"/>
                <w:szCs w:val="21"/>
                <w:lang w:val="de-DE"/>
              </w:rPr>
              <w:sym w:font="Wingdings 2" w:char="00A3"/>
            </w:r>
            <w:r>
              <w:rPr>
                <w:rFonts w:hint="eastAsia" w:ascii="宋体" w:hAnsi="宋体"/>
                <w:b/>
                <w:color w:val="000000"/>
                <w:szCs w:val="21"/>
                <w:lang w:val="de-DE"/>
              </w:rPr>
              <w:t>《危害分析与关键控制点（HACCP体系）认证补充要求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李林</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2019-N1QMS-1242345</w:t>
            </w:r>
          </w:p>
          <w:p>
            <w:pPr>
              <w:spacing w:line="240" w:lineRule="exact"/>
              <w:jc w:val="center"/>
              <w:rPr>
                <w:b/>
                <w:color w:val="000000"/>
                <w:szCs w:val="21"/>
              </w:rPr>
            </w:pPr>
            <w:r>
              <w:rPr>
                <w:b/>
                <w:color w:val="000000"/>
                <w:szCs w:val="21"/>
              </w:rPr>
              <w:t>2019-N1EMS-1242345</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谢梦洋</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成都和立包装材料有限公司</w:t>
            </w:r>
          </w:p>
        </w:tc>
        <w:tc>
          <w:tcPr>
            <w:tcW w:w="1140" w:type="dxa"/>
            <w:vAlign w:val="center"/>
          </w:tcPr>
          <w:p>
            <w:pPr>
              <w:spacing w:line="240" w:lineRule="exact"/>
              <w:jc w:val="center"/>
              <w:rPr>
                <w:b/>
                <w:color w:val="000000"/>
                <w:szCs w:val="21"/>
              </w:rPr>
            </w:pPr>
            <w:r>
              <w:rPr>
                <w:b/>
                <w:color w:val="000000"/>
                <w:szCs w:val="21"/>
              </w:rPr>
              <w:t>Q:07.02.01,09.01.02</w:t>
            </w:r>
          </w:p>
          <w:p>
            <w:pPr>
              <w:spacing w:line="240" w:lineRule="exact"/>
              <w:jc w:val="center"/>
              <w:rPr>
                <w:b/>
                <w:color w:val="000000"/>
                <w:szCs w:val="21"/>
              </w:rPr>
            </w:pPr>
            <w:r>
              <w:rPr>
                <w:b/>
                <w:color w:val="000000"/>
                <w:szCs w:val="21"/>
              </w:rPr>
              <w:t>E:07.02.01,09.01.02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成都亚美包装有限公司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成都市郫都区新民场镇云凌村16组</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611730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成都市郫都区新民场镇云凌村16组</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611732</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严清春</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18116657006</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r>
              <w:rPr>
                <w:rFonts w:ascii="宋体"/>
                <w:b/>
                <w:color w:val="000000"/>
                <w:szCs w:val="21"/>
              </w:rPr>
              <w:t>15828598750</w:t>
            </w:r>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严清春</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严清春</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r>
              <w:t>纸箱的加工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rFonts w:hint="eastAsia" w:ascii="Times New Roman" w:hAnsi="Times New Roman" w:cs="Times New Roman"/>
                <w:color w:val="000000"/>
              </w:rPr>
            </w:pPr>
            <w:r>
              <w:rPr>
                <w:rFonts w:hint="eastAsia" w:ascii="Times New Roman" w:hAnsi="Times New Roman" w:cs="Times New Roman"/>
                <w:color w:val="000000"/>
              </w:rPr>
              <w:t>印刷——成型（开槽、模切）——装订（粘接、装订）——检验——包装——入库。</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ascii="宋体" w:hAnsi="宋体"/>
                <w:b/>
                <w:color w:val="000000"/>
                <w:szCs w:val="21"/>
              </w:rPr>
            </w:pPr>
            <w:r>
              <w:t>纸箱的加工</w:t>
            </w:r>
          </w:p>
        </w:tc>
        <w:tc>
          <w:tcPr>
            <w:tcW w:w="2006" w:type="dxa"/>
            <w:gridSpan w:val="3"/>
            <w:vAlign w:val="center"/>
          </w:tcPr>
          <w:p>
            <w:pPr>
              <w:spacing w:line="400" w:lineRule="exact"/>
              <w:rPr>
                <w:rFonts w:ascii="宋体" w:hAnsi="宋体"/>
                <w:b/>
                <w:color w:val="000000"/>
                <w:szCs w:val="21"/>
              </w:rPr>
            </w:pPr>
            <w:r>
              <w:t>07.02.01;09.01.02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rPr>
                <w:rFonts w:ascii="宋体" w:hAnsi="宋体"/>
                <w:b/>
                <w:color w:val="000000"/>
                <w:szCs w:val="21"/>
              </w:rPr>
            </w:pPr>
            <w:r>
              <w:t>纸箱的加工所涉及场所的相关环境管理活动</w:t>
            </w:r>
          </w:p>
        </w:tc>
        <w:tc>
          <w:tcPr>
            <w:tcW w:w="2006" w:type="dxa"/>
            <w:gridSpan w:val="3"/>
            <w:vAlign w:val="center"/>
          </w:tcPr>
          <w:p>
            <w:pPr>
              <w:spacing w:line="400" w:lineRule="exact"/>
              <w:rPr>
                <w:rFonts w:ascii="宋体" w:hAnsi="宋体"/>
                <w:b/>
                <w:color w:val="000000"/>
                <w:szCs w:val="21"/>
              </w:rPr>
            </w:pPr>
            <w:r>
              <w:t>07.02.01;09.01.02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155"/>
        <w:gridCol w:w="1317"/>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3"/>
              <w:spacing w:before="0" w:after="0"/>
              <w:rPr>
                <w:rFonts w:eastAsia="黑体" w:cs="Arial"/>
                <w:sz w:val="21"/>
                <w:szCs w:val="21"/>
                <w:lang w:eastAsia="zh-CN"/>
              </w:rPr>
            </w:pPr>
            <w:r>
              <w:rPr>
                <w:rFonts w:eastAsia="黑体" w:cs="Arial"/>
                <w:sz w:val="21"/>
                <w:szCs w:val="21"/>
                <w:lang w:eastAsia="zh-CN"/>
              </w:rPr>
              <w:t>场所编号</w:t>
            </w:r>
          </w:p>
          <w:p>
            <w:pPr>
              <w:pStyle w:val="23"/>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员工人数</w:t>
            </w:r>
          </w:p>
        </w:tc>
        <w:tc>
          <w:tcPr>
            <w:tcW w:w="2155" w:type="dxa"/>
            <w:shd w:val="clear" w:color="auto" w:fill="F3F3F3"/>
            <w:tcMar>
              <w:left w:w="57" w:type="dxa"/>
              <w:right w:w="57" w:type="dxa"/>
            </w:tcMar>
          </w:tcPr>
          <w:p>
            <w:pPr>
              <w:pStyle w:val="23"/>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3"/>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31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成都亚美包装有限公司</w:t>
            </w:r>
            <w:r>
              <w:rPr>
                <w:rFonts w:hint="eastAsia"/>
                <w:sz w:val="21"/>
                <w:szCs w:val="21"/>
                <w:lang w:val="en-US" w:eastAsia="zh-CN"/>
              </w:rPr>
              <w:t>/</w:t>
            </w:r>
            <w:r>
              <w:rPr>
                <w:sz w:val="21"/>
                <w:szCs w:val="21"/>
              </w:rPr>
              <w:t>成都市郫都区新民场镇云凌村16组</w:t>
            </w:r>
          </w:p>
        </w:tc>
        <w:tc>
          <w:tcPr>
            <w:tcW w:w="2267" w:type="dxa"/>
          </w:tcPr>
          <w:p>
            <w:pPr>
              <w:spacing w:before="40" w:after="40"/>
              <w:rPr>
                <w:rFonts w:eastAsia="黑体"/>
                <w:szCs w:val="21"/>
                <w:lang w:val="de-DE" w:eastAsia="ja-JP"/>
              </w:rPr>
            </w:pPr>
            <w:r>
              <w:rPr>
                <w:sz w:val="21"/>
                <w:szCs w:val="21"/>
              </w:rPr>
              <w:t>成都市郫都区新民场镇云凌村16组</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21</w:t>
            </w:r>
          </w:p>
        </w:tc>
        <w:tc>
          <w:tcPr>
            <w:tcW w:w="2155" w:type="dxa"/>
            <w:vAlign w:val="center"/>
          </w:tcPr>
          <w:p>
            <w:pPr>
              <w:pStyle w:val="21"/>
              <w:rPr>
                <w:rFonts w:eastAsia="黑体" w:cs="Arial"/>
                <w:sz w:val="21"/>
                <w:szCs w:val="21"/>
                <w:lang w:val="en-US" w:eastAsia="ja-JP"/>
              </w:rPr>
            </w:pPr>
            <w:r>
              <w:t>纸箱的加工</w:t>
            </w:r>
          </w:p>
        </w:tc>
        <w:tc>
          <w:tcPr>
            <w:tcW w:w="1317" w:type="dxa"/>
            <w:vAlign w:val="center"/>
          </w:tcPr>
          <w:p>
            <w:pPr>
              <w:rPr>
                <w:rFonts w:ascii="宋体" w:hAnsi="宋体"/>
                <w:b/>
                <w:sz w:val="21"/>
                <w:szCs w:val="21"/>
              </w:rPr>
            </w:pPr>
            <w:r>
              <w:rPr>
                <w:rFonts w:hint="eastAsia" w:ascii="宋体" w:hAnsi="宋体"/>
                <w:b/>
                <w:sz w:val="21"/>
                <w:szCs w:val="21"/>
              </w:rPr>
              <w:t xml:space="preserve">GB/T19001-2016/   </w:t>
            </w:r>
          </w:p>
          <w:p>
            <w:pPr>
              <w:spacing w:before="40" w:after="40"/>
              <w:rPr>
                <w:rFonts w:eastAsia="黑体"/>
                <w:szCs w:val="21"/>
                <w:lang w:eastAsia="ja-JP"/>
              </w:rPr>
            </w:pPr>
            <w:r>
              <w:rPr>
                <w:rFonts w:hint="eastAsia" w:ascii="宋体" w:hAnsi="宋体"/>
                <w:b/>
                <w:sz w:val="21"/>
                <w:szCs w:val="21"/>
              </w:rPr>
              <w:t>GB/T24001-2016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b/>
                    <w:sz w:val="21"/>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155" w:type="dxa"/>
            <w:vAlign w:val="center"/>
          </w:tcPr>
          <w:p>
            <w:pPr>
              <w:spacing w:before="40" w:after="40"/>
              <w:rPr>
                <w:rFonts w:eastAsia="黑体"/>
                <w:szCs w:val="21"/>
                <w:lang w:eastAsia="ja-JP"/>
              </w:rPr>
            </w:pPr>
          </w:p>
        </w:tc>
        <w:tc>
          <w:tcPr>
            <w:tcW w:w="1317"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155" w:type="dxa"/>
            <w:vAlign w:val="center"/>
          </w:tcPr>
          <w:p>
            <w:pPr>
              <w:spacing w:before="40" w:after="40"/>
              <w:rPr>
                <w:rFonts w:eastAsia="黑体"/>
                <w:szCs w:val="21"/>
                <w:lang w:eastAsia="ja-JP"/>
              </w:rPr>
            </w:pPr>
          </w:p>
        </w:tc>
        <w:tc>
          <w:tcPr>
            <w:tcW w:w="1317"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155" w:type="dxa"/>
            <w:vAlign w:val="center"/>
          </w:tcPr>
          <w:p>
            <w:pPr>
              <w:spacing w:before="40" w:after="40"/>
              <w:rPr>
                <w:rFonts w:eastAsia="黑体"/>
                <w:szCs w:val="21"/>
                <w:lang w:eastAsia="ja-JP"/>
              </w:rPr>
            </w:pPr>
          </w:p>
        </w:tc>
        <w:tc>
          <w:tcPr>
            <w:tcW w:w="1317"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155" w:type="dxa"/>
            <w:vAlign w:val="center"/>
          </w:tcPr>
          <w:p>
            <w:pPr>
              <w:spacing w:before="40" w:after="40"/>
              <w:rPr>
                <w:rFonts w:eastAsia="黑体"/>
                <w:szCs w:val="21"/>
                <w:lang w:eastAsia="ja-JP"/>
              </w:rPr>
            </w:pPr>
          </w:p>
        </w:tc>
        <w:tc>
          <w:tcPr>
            <w:tcW w:w="1317"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于年月日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年月日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年月日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10"/>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r>
              <w:rPr>
                <w:rFonts w:hint="eastAsia" w:ascii="宋体"/>
                <w:sz w:val="21"/>
                <w:szCs w:val="21"/>
              </w:rPr>
              <w:t>成型、印刷</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val="en-US" w:eastAsia="zh-CN"/>
              </w:rPr>
              <w:t>印刷彩面</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highlight w:val="none"/>
              </w:rPr>
            </w:pPr>
            <w:r>
              <w:rPr>
                <w:rFonts w:hint="eastAsia" w:ascii="宋体" w:hAnsi="宋体"/>
                <w:color w:val="000000"/>
                <w:szCs w:val="21"/>
                <w:highlight w:val="none"/>
              </w:rPr>
              <w:t>受审核方认证范围内的产品的技术标准，及符合性证据</w:t>
            </w:r>
          </w:p>
          <w:p>
            <w:pPr>
              <w:ind w:left="-1" w:leftChars="-1" w:hanging="1"/>
              <w:jc w:val="left"/>
              <w:rPr>
                <w:rFonts w:ascii="宋体"/>
                <w:color w:val="000000"/>
                <w:spacing w:val="-10"/>
                <w:szCs w:val="21"/>
                <w:highlight w:val="none"/>
              </w:rPr>
            </w:pPr>
            <w:r>
              <w:rPr>
                <w:rFonts w:hint="eastAsia" w:ascii="宋体" w:hAnsi="宋体"/>
                <w:color w:val="000000"/>
                <w:spacing w:val="-10"/>
                <w:szCs w:val="21"/>
                <w:highlight w:val="none"/>
              </w:rPr>
              <w:t>（</w:t>
            </w:r>
            <w:r>
              <w:rPr>
                <w:rFonts w:ascii="宋体" w:hAnsi="宋体"/>
                <w:color w:val="000000"/>
                <w:spacing w:val="-10"/>
                <w:szCs w:val="21"/>
                <w:highlight w:val="none"/>
              </w:rPr>
              <w:t>QMS</w:t>
            </w:r>
            <w:r>
              <w:rPr>
                <w:rFonts w:hint="eastAsia" w:ascii="宋体" w:hAnsi="宋体"/>
                <w:color w:val="000000"/>
                <w:spacing w:val="-10"/>
                <w:szCs w:val="21"/>
                <w:highlight w:val="none"/>
              </w:rPr>
              <w:t>）</w:t>
            </w:r>
          </w:p>
        </w:tc>
        <w:tc>
          <w:tcPr>
            <w:tcW w:w="4191" w:type="dxa"/>
            <w:shd w:val="clear" w:color="auto" w:fill="DBEEF3" w:themeFill="accent5" w:themeFillTint="32"/>
          </w:tcPr>
          <w:p>
            <w:pPr>
              <w:rPr>
                <w:rFonts w:ascii="宋体"/>
                <w:color w:val="000000"/>
                <w:spacing w:val="-10"/>
                <w:szCs w:val="21"/>
                <w:highlight w:val="none"/>
              </w:rPr>
            </w:pPr>
            <w:r>
              <w:rPr>
                <w:rFonts w:hint="eastAsia" w:ascii="宋体" w:hAnsi="宋体"/>
                <w:color w:val="000000"/>
                <w:spacing w:val="-10"/>
                <w:szCs w:val="21"/>
                <w:highlight w:val="none"/>
              </w:rPr>
              <w:sym w:font="Wingdings 2" w:char="0052"/>
            </w:r>
            <w:r>
              <w:rPr>
                <w:rFonts w:hint="eastAsia" w:ascii="宋体" w:hAnsi="宋体"/>
                <w:color w:val="000000"/>
                <w:spacing w:val="-10"/>
                <w:szCs w:val="21"/>
                <w:highlight w:val="none"/>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highlight w:val="none"/>
              </w:rPr>
            </w:pPr>
          </w:p>
        </w:tc>
        <w:tc>
          <w:tcPr>
            <w:tcW w:w="4191" w:type="dxa"/>
            <w:shd w:val="clear" w:color="auto" w:fill="DBEEF3" w:themeFill="accent5" w:themeFillTint="32"/>
          </w:tcPr>
          <w:p>
            <w:pPr>
              <w:rPr>
                <w:rFonts w:ascii="宋体"/>
                <w:color w:val="000000"/>
                <w:spacing w:val="-10"/>
                <w:szCs w:val="21"/>
                <w:highlight w:val="none"/>
              </w:rPr>
            </w:pPr>
            <w:r>
              <w:rPr>
                <w:rFonts w:hint="eastAsia" w:ascii="宋体" w:hAnsi="宋体"/>
                <w:color w:val="000000"/>
                <w:spacing w:val="-10"/>
                <w:szCs w:val="21"/>
                <w:highlight w:val="none"/>
              </w:rPr>
              <w:sym w:font="Wingdings 2" w:char="0052"/>
            </w:r>
            <w:r>
              <w:rPr>
                <w:rFonts w:hint="eastAsia" w:ascii="宋体" w:hAnsi="宋体"/>
                <w:color w:val="000000"/>
                <w:spacing w:val="-10"/>
                <w:szCs w:val="21"/>
                <w:highlight w:val="none"/>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highlight w:val="none"/>
              </w:rPr>
            </w:pPr>
          </w:p>
        </w:tc>
        <w:tc>
          <w:tcPr>
            <w:tcW w:w="4191" w:type="dxa"/>
            <w:shd w:val="clear" w:color="auto" w:fill="DBEEF3" w:themeFill="accent5" w:themeFillTint="32"/>
          </w:tcPr>
          <w:p>
            <w:pPr>
              <w:rPr>
                <w:rFonts w:ascii="宋体" w:hAnsi="宋体"/>
                <w:color w:val="000000"/>
                <w:spacing w:val="-10"/>
                <w:szCs w:val="21"/>
                <w:highlight w:val="none"/>
              </w:rPr>
            </w:pPr>
            <w:r>
              <w:rPr>
                <w:rFonts w:hint="eastAsia" w:ascii="宋体"/>
                <w:color w:val="000000"/>
                <w:szCs w:val="21"/>
                <w:highlight w:val="none"/>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highlight w:val="none"/>
              </w:rPr>
            </w:pPr>
          </w:p>
        </w:tc>
        <w:tc>
          <w:tcPr>
            <w:tcW w:w="4191" w:type="dxa"/>
            <w:shd w:val="clear" w:color="auto" w:fill="DBEEF3" w:themeFill="accent5" w:themeFillTint="32"/>
          </w:tcPr>
          <w:p>
            <w:pPr>
              <w:rPr>
                <w:rFonts w:ascii="宋体"/>
                <w:color w:val="000000"/>
                <w:spacing w:val="-10"/>
                <w:szCs w:val="21"/>
                <w:highlight w:val="none"/>
              </w:rPr>
            </w:pPr>
            <w:r>
              <w:rPr>
                <w:rFonts w:hint="eastAsia" w:ascii="宋体" w:hAnsi="宋体"/>
                <w:color w:val="000000"/>
                <w:szCs w:val="21"/>
                <w:highlight w:val="none"/>
              </w:rPr>
              <w:t>是否有</w:t>
            </w:r>
            <w:r>
              <w:rPr>
                <w:rFonts w:hint="eastAsia" w:ascii="宋体"/>
                <w:color w:val="000000"/>
                <w:szCs w:val="21"/>
                <w:highlight w:val="none"/>
              </w:rPr>
              <w:t>型式试验</w:t>
            </w:r>
            <w:r>
              <w:rPr>
                <w:rFonts w:hint="eastAsia" w:ascii="宋体" w:hAnsi="宋体"/>
                <w:color w:val="000000"/>
                <w:szCs w:val="21"/>
                <w:highlight w:val="none"/>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highlight w:val="none"/>
              </w:rPr>
            </w:pPr>
            <w:r>
              <w:rPr>
                <w:rFonts w:hint="eastAsia" w:ascii="宋体"/>
                <w:color w:val="000000"/>
                <w:spacing w:val="-10"/>
                <w:szCs w:val="21"/>
                <w:highlight w:val="none"/>
              </w:rPr>
              <w:t>市场抽查及质量事故</w:t>
            </w:r>
            <w:r>
              <w:rPr>
                <w:rFonts w:hint="eastAsia" w:ascii="宋体" w:hAnsi="宋体"/>
                <w:color w:val="000000"/>
                <w:spacing w:val="-10"/>
                <w:szCs w:val="21"/>
                <w:highlight w:val="none"/>
              </w:rPr>
              <w:t>（</w:t>
            </w:r>
            <w:r>
              <w:rPr>
                <w:rFonts w:ascii="宋体" w:hAnsi="宋体"/>
                <w:color w:val="000000"/>
                <w:spacing w:val="-10"/>
                <w:szCs w:val="21"/>
                <w:highlight w:val="none"/>
              </w:rPr>
              <w:t>QMS</w:t>
            </w:r>
            <w:r>
              <w:rPr>
                <w:rFonts w:hint="eastAsia" w:ascii="宋体" w:hAnsi="宋体"/>
                <w:color w:val="000000"/>
                <w:spacing w:val="-10"/>
                <w:szCs w:val="21"/>
                <w:highlight w:val="none"/>
              </w:rPr>
              <w:t>）</w:t>
            </w:r>
          </w:p>
        </w:tc>
        <w:tc>
          <w:tcPr>
            <w:tcW w:w="4191" w:type="dxa"/>
            <w:shd w:val="clear" w:color="auto" w:fill="DBEEF3" w:themeFill="accent5" w:themeFillTint="32"/>
          </w:tcPr>
          <w:p>
            <w:pPr>
              <w:rPr>
                <w:rFonts w:ascii="宋体"/>
                <w:color w:val="000000"/>
                <w:spacing w:val="-10"/>
                <w:szCs w:val="21"/>
                <w:highlight w:val="none"/>
              </w:rPr>
            </w:pPr>
            <w:r>
              <w:rPr>
                <w:rFonts w:hint="eastAsia" w:ascii="宋体"/>
                <w:color w:val="000000"/>
                <w:szCs w:val="21"/>
                <w:highlight w:val="none"/>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highlight w:val="none"/>
              </w:rPr>
            </w:pPr>
          </w:p>
        </w:tc>
        <w:tc>
          <w:tcPr>
            <w:tcW w:w="4191" w:type="dxa"/>
            <w:shd w:val="clear" w:color="auto" w:fill="DBEEF3" w:themeFill="accent5" w:themeFillTint="32"/>
          </w:tcPr>
          <w:p>
            <w:pPr>
              <w:rPr>
                <w:rFonts w:ascii="宋体"/>
                <w:color w:val="000000"/>
                <w:spacing w:val="-10"/>
                <w:szCs w:val="21"/>
                <w:highlight w:val="none"/>
              </w:rPr>
            </w:pPr>
            <w:r>
              <w:rPr>
                <w:rFonts w:hint="eastAsia" w:ascii="宋体"/>
                <w:color w:val="000000"/>
                <w:szCs w:val="21"/>
                <w:highlight w:val="none"/>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highlight w:val="none"/>
              </w:rPr>
            </w:pPr>
          </w:p>
        </w:tc>
        <w:tc>
          <w:tcPr>
            <w:tcW w:w="4191" w:type="dxa"/>
            <w:shd w:val="clear" w:color="auto" w:fill="DBEEF3" w:themeFill="accent5" w:themeFillTint="32"/>
          </w:tcPr>
          <w:p>
            <w:pPr>
              <w:rPr>
                <w:rFonts w:ascii="宋体" w:hAnsi="宋体"/>
                <w:color w:val="000000"/>
                <w:szCs w:val="21"/>
                <w:highlight w:val="none"/>
              </w:rPr>
            </w:pPr>
            <w:r>
              <w:rPr>
                <w:rFonts w:hint="eastAsia" w:ascii="宋体" w:hAnsi="宋体"/>
                <w:color w:val="000000"/>
                <w:szCs w:val="21"/>
                <w:highlight w:val="none"/>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10"/>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□环境主管部门、□动力装置场所、</w:t>
            </w:r>
            <w:r>
              <w:rPr>
                <w:rFonts w:hint="eastAsia" w:ascii="宋体"/>
                <w:color w:val="000000"/>
                <w:spacing w:val="-10"/>
                <w:szCs w:val="21"/>
              </w:rPr>
              <w:sym w:font="Wingdings 2" w:char="0052"/>
            </w:r>
            <w:r>
              <w:rPr>
                <w:rFonts w:hint="eastAsia" w:ascii="宋体"/>
                <w:color w:val="000000"/>
                <w:spacing w:val="-10"/>
                <w:szCs w:val="21"/>
              </w:rPr>
              <w:t>危险化学品仓库、□污染物治疗设施、</w:t>
            </w:r>
            <w:r>
              <w:rPr>
                <w:rFonts w:hint="eastAsia" w:ascii="宋体"/>
                <w:color w:val="000000"/>
                <w:spacing w:val="-10"/>
                <w:szCs w:val="21"/>
              </w:rPr>
              <w:sym w:font="Wingdings 2" w:char="0052"/>
            </w:r>
            <w:r>
              <w:rPr>
                <w:rFonts w:hint="eastAsia" w:ascii="宋体"/>
                <w:color w:val="000000"/>
                <w:spacing w:val="-10"/>
                <w:szCs w:val="21"/>
              </w:rPr>
              <w:t>危废堆放场所，</w:t>
            </w:r>
            <w:bookmarkStart w:id="36" w:name="_GoBack"/>
            <w:bookmarkEnd w:id="36"/>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5" w:name="二阶段审核日期"/>
            <w:r>
              <w:rPr>
                <w:rFonts w:hint="eastAsia" w:ascii="宋体"/>
                <w:b/>
                <w:color w:val="000000"/>
                <w:szCs w:val="21"/>
              </w:rPr>
              <w:t>2022-04-2</w:t>
            </w:r>
            <w:bookmarkEnd w:id="35"/>
            <w:r>
              <w:rPr>
                <w:rFonts w:hint="eastAsia" w:ascii="宋体"/>
                <w:b/>
                <w:color w:val="000000"/>
                <w:szCs w:val="21"/>
                <w:lang w:val="en-US" w:eastAsia="zh-CN"/>
              </w:rPr>
              <w:t>8</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240" w:lineRule="auto"/>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ascii="宋体" w:hAnsi="宋体"/>
          <w:b/>
          <w:color w:val="000000"/>
          <w:szCs w:val="21"/>
        </w:rPr>
        <w:drawing>
          <wp:inline distT="0" distB="0" distL="114300" distR="114300">
            <wp:extent cx="603250" cy="311150"/>
            <wp:effectExtent l="0" t="0" r="6350" b="12700"/>
            <wp:docPr id="3" name="图片 3"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林"/>
                    <pic:cNvPicPr>
                      <a:picLocks noChangeAspect="1"/>
                    </pic:cNvPicPr>
                  </pic:nvPicPr>
                  <pic:blipFill>
                    <a:blip r:embed="rId6"/>
                    <a:stretch>
                      <a:fillRect/>
                    </a:stretch>
                  </pic:blipFill>
                  <pic:spPr>
                    <a:xfrm>
                      <a:off x="0" y="0"/>
                      <a:ext cx="603250" cy="311150"/>
                    </a:xfrm>
                    <a:prstGeom prst="rect">
                      <a:avLst/>
                    </a:prstGeom>
                  </pic:spPr>
                </pic:pic>
              </a:graphicData>
            </a:graphic>
          </wp:inline>
        </w:drawing>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w:t>
      </w:r>
      <w:r>
        <w:rPr>
          <w:rFonts w:ascii="宋体" w:hAnsi="宋体"/>
          <w:b/>
          <w:color w:val="000000"/>
          <w:szCs w:val="21"/>
        </w:rPr>
        <w:drawing>
          <wp:inline distT="0" distB="0" distL="114300" distR="114300">
            <wp:extent cx="686435" cy="258445"/>
            <wp:effectExtent l="0" t="0" r="18415" b="8255"/>
            <wp:docPr id="5" name="图片 5" descr="谢梦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谢梦洋"/>
                    <pic:cNvPicPr>
                      <a:picLocks noChangeAspect="1"/>
                    </pic:cNvPicPr>
                  </pic:nvPicPr>
                  <pic:blipFill>
                    <a:blip r:embed="rId7"/>
                    <a:stretch>
                      <a:fillRect/>
                    </a:stretch>
                  </pic:blipFill>
                  <pic:spPr>
                    <a:xfrm>
                      <a:off x="0" y="0"/>
                      <a:ext cx="686435" cy="258445"/>
                    </a:xfrm>
                    <a:prstGeom prst="rect">
                      <a:avLst/>
                    </a:prstGeom>
                  </pic:spPr>
                </pic:pic>
              </a:graphicData>
            </a:graphic>
          </wp:inline>
        </w:drawing>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hint="default" w:ascii="宋体" w:hAnsi="宋体" w:eastAsia="宋体"/>
          <w:b/>
          <w:bCs/>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2022年04月27日</w:t>
      </w: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8"/>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8"/>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4"/>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0863B59"/>
    <w:rsid w:val="014D0B1B"/>
    <w:rsid w:val="09CB3E6C"/>
    <w:rsid w:val="0C97336E"/>
    <w:rsid w:val="0CE00D2E"/>
    <w:rsid w:val="17282E0C"/>
    <w:rsid w:val="27256F7F"/>
    <w:rsid w:val="35753BC1"/>
    <w:rsid w:val="3CB054DF"/>
    <w:rsid w:val="3EEA117C"/>
    <w:rsid w:val="50E341CC"/>
    <w:rsid w:val="5FA62A45"/>
    <w:rsid w:val="7EB566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spacing w:after="120" w:afterLines="0" w:afterAutospacing="0" w:line="480" w:lineRule="auto"/>
    </w:pPr>
  </w:style>
  <w:style w:type="paragraph" w:styleId="5">
    <w:name w:val="Body Text Indent"/>
    <w:basedOn w:val="1"/>
    <w:qFormat/>
    <w:uiPriority w:val="0"/>
    <w:pPr>
      <w:tabs>
        <w:tab w:val="left" w:pos="1560"/>
        <w:tab w:val="left" w:pos="1985"/>
      </w:tabs>
      <w:ind w:left="1560" w:hanging="1560"/>
      <w:jc w:val="left"/>
    </w:pPr>
    <w:rPr>
      <w:lang w:eastAsia="ja-JP"/>
    </w:rPr>
  </w:style>
  <w:style w:type="paragraph" w:styleId="6">
    <w:name w:val="Balloon Text"/>
    <w:basedOn w:val="1"/>
    <w:link w:val="13"/>
    <w:semiHidden/>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link w:val="6"/>
    <w:semiHidden/>
    <w:qFormat/>
    <w:locked/>
    <w:uiPriority w:val="99"/>
    <w:rPr>
      <w:rFonts w:ascii="Times New Roman" w:hAnsi="Times New Roman" w:eastAsia="宋体" w:cs="Times New Roman"/>
      <w:sz w:val="18"/>
      <w:szCs w:val="18"/>
    </w:rPr>
  </w:style>
  <w:style w:type="character" w:customStyle="1" w:styleId="14">
    <w:name w:val="页脚 Char"/>
    <w:link w:val="7"/>
    <w:qFormat/>
    <w:locked/>
    <w:uiPriority w:val="99"/>
    <w:rPr>
      <w:rFonts w:ascii="Times New Roman" w:hAnsi="Times New Roman" w:eastAsia="宋体" w:cs="Times New Roman"/>
      <w:sz w:val="18"/>
      <w:szCs w:val="18"/>
    </w:rPr>
  </w:style>
  <w:style w:type="character" w:customStyle="1" w:styleId="15">
    <w:name w:val="页眉 Char"/>
    <w:link w:val="8"/>
    <w:qFormat/>
    <w:locked/>
    <w:uiPriority w:val="99"/>
    <w:rPr>
      <w:rFonts w:ascii="Calibri" w:hAnsi="Calibri" w:eastAsia="宋体" w:cs="Times New Roman"/>
      <w:sz w:val="18"/>
      <w:szCs w:val="18"/>
    </w:rPr>
  </w:style>
  <w:style w:type="character" w:customStyle="1" w:styleId="16">
    <w:name w:val="副标题 Char"/>
    <w:link w:val="9"/>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4</TotalTime>
  <ScaleCrop>false</ScaleCrop>
  <LinksUpToDate>false</LinksUpToDate>
  <CharactersWithSpaces>9461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2022-04-27T02:49:50Z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2052-11.1.0.11365</vt:lpwstr>
  </property>
</Properties>
</file>