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34290</wp:posOffset>
            </wp:positionH>
            <wp:positionV relativeFrom="paragraph">
              <wp:posOffset>99695</wp:posOffset>
            </wp:positionV>
            <wp:extent cx="6356350" cy="9385300"/>
            <wp:effectExtent l="0" t="0" r="6350" b="0"/>
            <wp:wrapNone/>
            <wp:docPr id="1" name="图片 1" descr="66a31c98349f765f9900c209b57c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a31c98349f765f9900c209b57c77e"/>
                    <pic:cNvPicPr>
                      <a:picLocks noChangeAspect="1"/>
                    </pic:cNvPicPr>
                  </pic:nvPicPr>
                  <pic:blipFill>
                    <a:blip r:embed="rId6"/>
                    <a:stretch>
                      <a:fillRect/>
                    </a:stretch>
                  </pic:blipFill>
                  <pic:spPr>
                    <a:xfrm>
                      <a:off x="0" y="0"/>
                      <a:ext cx="6356350" cy="9385300"/>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承德国佑鸿路绿色建筑科技有限公司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0713-2020-QJEO-2022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lang w:val="en-US"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0463F61"/>
    <w:rsid w:val="2BC53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462</Words>
  <Characters>600</Characters>
  <Lines>5</Lines>
  <Paragraphs>1</Paragraphs>
  <TotalTime>0</TotalTime>
  <ScaleCrop>false</ScaleCrop>
  <LinksUpToDate>false</LinksUpToDate>
  <CharactersWithSpaces>604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2022-05-12T07:35:48Z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