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0333-2022-EO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西安安特高压电器有限公司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西安安特高压电器有限公司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西安泾河工业园区泾渭六路</w:t>
            </w:r>
            <w:bookmarkEnd w:id="6"/>
          </w:p>
        </w:tc>
        <w:tc>
          <w:tcPr>
            <w:tcW w:w="1242" w:type="dxa"/>
            <w:vMerge w:val="restart"/>
            <w:vAlign w:val="center"/>
          </w:tcPr>
          <w:p>
            <w:r>
              <w:rPr>
                <w:rFonts w:hint="eastAsia"/>
              </w:rPr>
              <w:t>邮编</w:t>
            </w:r>
          </w:p>
        </w:tc>
        <w:tc>
          <w:tcPr>
            <w:tcW w:w="1771" w:type="dxa"/>
          </w:tcPr>
          <w:p>
            <w:bookmarkStart w:id="7" w:name="注册邮编"/>
            <w:r>
              <w:t>710201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西安泾河工业园区泾渭六路</w:t>
            </w:r>
            <w:bookmarkEnd w:id="8"/>
          </w:p>
        </w:tc>
        <w:tc>
          <w:tcPr>
            <w:tcW w:w="1242" w:type="dxa"/>
            <w:vMerge w:val="continue"/>
            <w:vAlign w:val="center"/>
          </w:tcPr>
          <w:p/>
        </w:tc>
        <w:tc>
          <w:tcPr>
            <w:tcW w:w="1771" w:type="dxa"/>
          </w:tcPr>
          <w:p>
            <w:bookmarkStart w:id="9" w:name="办公邮编"/>
            <w:r>
              <w:t>710201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王显著</w:t>
            </w:r>
            <w:bookmarkEnd w:id="10"/>
          </w:p>
        </w:tc>
        <w:tc>
          <w:tcPr>
            <w:tcW w:w="1313" w:type="dxa"/>
            <w:vAlign w:val="center"/>
          </w:tcPr>
          <w:p>
            <w:r>
              <w:rPr>
                <w:rFonts w:hint="eastAsia"/>
              </w:rPr>
              <w:t>电话.</w:t>
            </w:r>
          </w:p>
        </w:tc>
        <w:tc>
          <w:tcPr>
            <w:tcW w:w="2180" w:type="dxa"/>
            <w:vAlign w:val="center"/>
          </w:tcPr>
          <w:p>
            <w:bookmarkStart w:id="11" w:name="联系人电话"/>
            <w:r>
              <w:t>029-86033183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窦建中</w:t>
            </w:r>
            <w:bookmarkEnd w:id="13"/>
          </w:p>
        </w:tc>
        <w:tc>
          <w:tcPr>
            <w:tcW w:w="1313" w:type="dxa"/>
            <w:vAlign w:val="center"/>
          </w:tcPr>
          <w:p>
            <w:r>
              <w:rPr>
                <w:rFonts w:hint="eastAsia"/>
              </w:rPr>
              <w:t>管理者代表</w:t>
            </w:r>
          </w:p>
        </w:tc>
        <w:tc>
          <w:tcPr>
            <w:tcW w:w="2180" w:type="dxa"/>
          </w:tcPr>
          <w:p>
            <w:bookmarkStart w:id="14" w:name="管理者代表"/>
            <w:r>
              <w:t>魏攀宏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pPr>
            <w:r>
              <w:rPr>
                <w:rFonts w:hint="eastAsia"/>
              </w:rPr>
              <w:t>配料→添加剂处理→混合搅拌→喷雾造粒→含水→压制成型→排胶、预烧→上高阻层→</w:t>
            </w:r>
            <w:r>
              <w:rPr>
                <w:rFonts w:hint="eastAsia"/>
                <w:lang w:val="en-US" w:eastAsia="zh-CN"/>
              </w:rPr>
              <w:t>烧</w:t>
            </w:r>
            <w:r>
              <w:rPr>
                <w:rFonts w:hint="eastAsia"/>
              </w:rPr>
              <w:t>成→磨片→热处理→清洗、烘干→喷铝→装配→检测→入库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2022年04月07日 下午至2022年04月11日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西安泾河工业园区泾渭六路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E：交、直流无间隙金属氧化物避雷器、金属氧化物电阻片的设计开发、生产和销售所涉及场所的相关环境管理活动</w:t>
            </w:r>
          </w:p>
          <w:p>
            <w:r>
              <w:t>O：交、直流无间隙金属氧化物避雷器、金属氧化物电阻片的设计开发、生产和销售所涉及场所的相关职业健康安全管理活动。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E：19.01.01;19.11.03</w:t>
            </w:r>
          </w:p>
          <w:p>
            <w:r>
              <w:t>O：19.01.01;19.11.03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2021年12月15日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西安安特高压电器有限公司</w:t>
            </w:r>
          </w:p>
          <w:p>
            <w:pPr>
              <w:spacing w:before="40" w:after="40"/>
              <w:rPr>
                <w:lang w:val="de-DE" w:eastAsia="ja-JP"/>
              </w:rPr>
            </w:pPr>
            <w:r>
              <w:rPr>
                <w:sz w:val="21"/>
                <w:szCs w:val="21"/>
              </w:rPr>
              <w:t>西安泾河工业园区泾渭六路</w:t>
            </w:r>
          </w:p>
        </w:tc>
        <w:tc>
          <w:tcPr>
            <w:tcW w:w="2267" w:type="dxa"/>
            <w:vAlign w:val="top"/>
          </w:tcPr>
          <w:p>
            <w:pPr>
              <w:spacing w:before="40" w:after="40"/>
              <w:rPr>
                <w:lang w:val="de-DE" w:eastAsia="ja-JP"/>
              </w:rPr>
            </w:pPr>
            <w:r>
              <w:rPr>
                <w:sz w:val="21"/>
                <w:szCs w:val="21"/>
              </w:rPr>
              <w:t>西安泾河工业园区泾渭六路</w:t>
            </w:r>
          </w:p>
        </w:tc>
        <w:tc>
          <w:tcPr>
            <w:tcW w:w="571" w:type="dxa"/>
            <w:vAlign w:val="center"/>
          </w:tcPr>
          <w:p>
            <w:pPr>
              <w:spacing w:before="40" w:after="40"/>
              <w:rPr>
                <w:lang w:eastAsia="ja-JP"/>
              </w:rPr>
            </w:pPr>
            <w:r>
              <w:rPr>
                <w:rFonts w:hint="eastAsia" w:eastAsia="黑体"/>
                <w:szCs w:val="21"/>
                <w:lang w:val="en-US" w:eastAsia="zh-CN"/>
              </w:rPr>
              <w:t>32</w:t>
            </w:r>
          </w:p>
        </w:tc>
        <w:tc>
          <w:tcPr>
            <w:tcW w:w="2803" w:type="dxa"/>
            <w:vAlign w:val="center"/>
          </w:tcPr>
          <w:p>
            <w:pPr>
              <w:pStyle w:val="20"/>
              <w:rPr>
                <w:lang w:eastAsia="ja-JP"/>
              </w:rPr>
            </w:pPr>
            <w:r>
              <w:t>交、直流无间隙金属氧化物避雷器、金属氧化物电阻片的设计开发、生产和销售所涉及场所的相关环境管理活动</w:t>
            </w:r>
          </w:p>
        </w:tc>
        <w:tc>
          <w:tcPr>
            <w:tcW w:w="669" w:type="dxa"/>
            <w:vAlign w:val="center"/>
          </w:tcPr>
          <w:p>
            <w:pPr>
              <w:spacing w:before="40" w:after="40"/>
              <w:rPr>
                <w:lang w:eastAsia="ja-JP"/>
              </w:rPr>
            </w:pPr>
            <w:r>
              <w:rPr>
                <w:rFonts w:hint="eastAsia" w:ascii="宋体" w:hAnsi="宋体"/>
                <w:b/>
                <w:sz w:val="21"/>
                <w:szCs w:val="21"/>
              </w:rPr>
              <w:t>GB/T24001-2016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sz w:val="21"/>
                <w:szCs w:val="21"/>
              </w:rPr>
            </w:pPr>
            <w:r>
              <w:rPr>
                <w:sz w:val="21"/>
                <w:szCs w:val="21"/>
              </w:rPr>
              <w:t>西安安特高压电器有限公司</w:t>
            </w:r>
          </w:p>
          <w:p>
            <w:pPr>
              <w:spacing w:before="40" w:after="40"/>
              <w:rPr>
                <w:lang w:eastAsia="ja-JP"/>
              </w:rPr>
            </w:pPr>
            <w:r>
              <w:rPr>
                <w:sz w:val="21"/>
                <w:szCs w:val="21"/>
              </w:rPr>
              <w:t>西安泾河工业园区泾渭六路</w:t>
            </w:r>
          </w:p>
        </w:tc>
        <w:tc>
          <w:tcPr>
            <w:tcW w:w="2267" w:type="dxa"/>
            <w:vAlign w:val="top"/>
          </w:tcPr>
          <w:p>
            <w:pPr>
              <w:spacing w:before="40" w:after="40"/>
              <w:rPr>
                <w:lang w:eastAsia="ja-JP"/>
              </w:rPr>
            </w:pPr>
            <w:r>
              <w:rPr>
                <w:sz w:val="21"/>
                <w:szCs w:val="21"/>
              </w:rPr>
              <w:t>西安泾河工业园区泾渭六路</w:t>
            </w:r>
          </w:p>
        </w:tc>
        <w:tc>
          <w:tcPr>
            <w:tcW w:w="571" w:type="dxa"/>
            <w:vAlign w:val="center"/>
          </w:tcPr>
          <w:p>
            <w:pPr>
              <w:spacing w:before="40" w:after="40"/>
              <w:rPr>
                <w:lang w:eastAsia="ja-JP"/>
              </w:rPr>
            </w:pPr>
            <w:r>
              <w:rPr>
                <w:rFonts w:hint="eastAsia" w:eastAsia="黑体"/>
                <w:szCs w:val="21"/>
                <w:lang w:val="en-US" w:eastAsia="zh-CN"/>
              </w:rPr>
              <w:t>32</w:t>
            </w:r>
          </w:p>
        </w:tc>
        <w:tc>
          <w:tcPr>
            <w:tcW w:w="2803" w:type="dxa"/>
            <w:vAlign w:val="center"/>
          </w:tcPr>
          <w:p>
            <w:pPr>
              <w:pStyle w:val="20"/>
              <w:rPr>
                <w:lang w:eastAsia="ja-JP"/>
              </w:rPr>
            </w:pPr>
            <w:r>
              <w:t>交、直流无间隙金属氧化物避雷器、金属氧化物电阻片的设计开发、生产和销售所涉及场所的相关职业健康安全管理活动。</w:t>
            </w:r>
          </w:p>
        </w:tc>
        <w:tc>
          <w:tcPr>
            <w:tcW w:w="669" w:type="dxa"/>
            <w:vAlign w:val="center"/>
          </w:tcPr>
          <w:p>
            <w:pPr>
              <w:spacing w:before="40" w:after="40"/>
              <w:rPr>
                <w:lang w:eastAsia="ja-JP"/>
              </w:rPr>
            </w:pPr>
            <w:r>
              <w:rPr>
                <w:rFonts w:hint="eastAsia"/>
                <w:lang w:eastAsia="ja-JP"/>
              </w:rPr>
              <w:t xml:space="preserve">GB/T45001-2020 </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2021-N1OHSMS-2222792</w:t>
            </w:r>
          </w:p>
        </w:tc>
        <w:tc>
          <w:tcPr>
            <w:tcW w:w="2179" w:type="dxa"/>
            <w:vAlign w:val="center"/>
          </w:tcPr>
          <w:p>
            <w:r>
              <w:t>E:19.01.01,19.11.03</w:t>
            </w:r>
          </w:p>
          <w:p>
            <w:r>
              <w:t>O:19.01.01,19.11.03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pPr>
              <w:rPr>
                <w:rFonts w:hint="default" w:eastAsia="宋体"/>
                <w:lang w:val="en-US" w:eastAsia="zh-CN"/>
              </w:rPr>
            </w:pPr>
            <w:r>
              <w:rPr>
                <w:rFonts w:hint="eastAsia"/>
                <w:lang w:val="en-US" w:eastAsia="zh-CN"/>
              </w:rPr>
              <w:t xml:space="preserve">     1</w:t>
            </w: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312420</wp:posOffset>
                  </wp:positionH>
                  <wp:positionV relativeFrom="paragraph">
                    <wp:posOffset>7620</wp:posOffset>
                  </wp:positionV>
                  <wp:extent cx="412750" cy="317500"/>
                  <wp:effectExtent l="0" t="0" r="6350" b="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12750" cy="317500"/>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宋体"/>
                <w:b/>
                <w:color w:val="000000" w:themeColor="text1"/>
                <w:szCs w:val="21"/>
                <w:lang w:val="en-US" w:eastAsia="zh-CN"/>
                <w14:textFill>
                  <w14:solidFill>
                    <w14:schemeClr w14:val="tx1"/>
                  </w14:solidFill>
                </w14:textFill>
              </w:rPr>
              <w:t>2022.4.22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精益求精追求卓越</w:t>
            </w:r>
            <w:r>
              <w:rPr>
                <w:rFonts w:hint="eastAsia"/>
                <w:u w:val="single"/>
                <w:lang w:val="en-US" w:eastAsia="zh-CN"/>
              </w:rPr>
              <w:t xml:space="preserve">   </w:t>
            </w:r>
            <w:r>
              <w:rPr>
                <w:rFonts w:hint="eastAsia"/>
                <w:u w:val="single"/>
              </w:rPr>
              <w:t>节能减排预防污染</w:t>
            </w:r>
            <w:r>
              <w:rPr>
                <w:rFonts w:hint="eastAsia"/>
                <w:u w:val="single"/>
                <w:lang w:val="en-US" w:eastAsia="zh-CN"/>
              </w:rPr>
              <w:t xml:space="preserve">   </w:t>
            </w:r>
            <w:r>
              <w:rPr>
                <w:rFonts w:hint="eastAsia"/>
                <w:u w:val="single"/>
              </w:rPr>
              <w:t>以人为本关爱生命</w:t>
            </w:r>
            <w:r>
              <w:rPr>
                <w:rFonts w:hint="eastAsia"/>
                <w:u w:val="single"/>
                <w:lang w:val="en-US" w:eastAsia="zh-CN"/>
              </w:rPr>
              <w:t xml:space="preserve">   </w:t>
            </w:r>
            <w:r>
              <w:rPr>
                <w:rFonts w:hint="eastAsia"/>
                <w:u w:val="single"/>
              </w:rPr>
              <w:t>遵纪守法创新发展</w:t>
            </w:r>
          </w:p>
          <w:p>
            <w:pPr>
              <w:pStyle w:val="2"/>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人力行政资源部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来自当地环保部门的监察</w:t>
                  </w:r>
                </w:p>
              </w:tc>
              <w:tc>
                <w:tcPr>
                  <w:tcW w:w="3965" w:type="dxa"/>
                  <w:vAlign w:val="top"/>
                </w:tcPr>
                <w:p>
                  <w:pPr>
                    <w:shd w:val="clear" w:color="auto" w:fill="EBF1DE" w:themeFill="accent3" w:themeFillTint="32"/>
                  </w:pPr>
                  <w:r>
                    <w:rPr>
                      <w:rFonts w:hint="eastAsia"/>
                      <w:lang w:val="en-US" w:eastAsia="zh-CN"/>
                    </w:rPr>
                    <w:t>合规合法经营</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污染物超标排放</w:t>
                  </w:r>
                </w:p>
              </w:tc>
              <w:tc>
                <w:tcPr>
                  <w:tcW w:w="3965" w:type="dxa"/>
                  <w:vAlign w:val="top"/>
                </w:tcPr>
                <w:p>
                  <w:pPr>
                    <w:shd w:val="clear" w:color="auto" w:fill="EBF1DE" w:themeFill="accent3" w:themeFillTint="32"/>
                  </w:pPr>
                  <w:r>
                    <w:rPr>
                      <w:rFonts w:hint="eastAsia"/>
                      <w:lang w:val="en-US" w:eastAsia="zh-CN"/>
                    </w:rPr>
                    <w:t>环保设备正常运行</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危险废弃物未按照要求处置</w:t>
                  </w:r>
                </w:p>
              </w:tc>
              <w:tc>
                <w:tcPr>
                  <w:tcW w:w="3965" w:type="dxa"/>
                  <w:vAlign w:val="top"/>
                </w:tcPr>
                <w:p>
                  <w:pPr>
                    <w:shd w:val="clear" w:color="auto" w:fill="EBF1DE" w:themeFill="accent3" w:themeFillTint="32"/>
                  </w:pPr>
                  <w:r>
                    <w:rPr>
                      <w:rFonts w:hint="eastAsia"/>
                      <w:lang w:val="en-US" w:eastAsia="zh-CN"/>
                    </w:rPr>
                    <w:t>交由有资质的处理单位统一处理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lang w:eastAsia="zh-CN"/>
              </w:rPr>
              <w:t>☑</w:t>
            </w:r>
            <w:r>
              <w:rPr>
                <w:rFonts w:hint="eastAsia"/>
              </w:rPr>
              <w:t>排污许可证编号：91610117623908883L001X</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2009.3.23</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3210"/>
              <w:gridCol w:w="115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1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固废（危废）定向投放、分类处置率达 90%以上</w:t>
                  </w:r>
                </w:p>
              </w:tc>
              <w:tc>
                <w:tcPr>
                  <w:tcW w:w="3210" w:type="dxa"/>
                  <w:shd w:val="clear" w:color="auto" w:fill="auto"/>
                  <w:vAlign w:val="center"/>
                </w:tcPr>
                <w:p>
                  <w:pPr>
                    <w:shd w:val="clear" w:color="auto" w:fill="EBF1DE" w:themeFill="accent3" w:themeFillTint="32"/>
                    <w:rPr>
                      <w:lang w:val="en-GB"/>
                    </w:rPr>
                  </w:pPr>
                  <w:r>
                    <w:rPr>
                      <w:rFonts w:hint="eastAsia" w:ascii="宋体" w:hAnsi="宋体"/>
                      <w:color w:val="auto"/>
                      <w:lang w:val="en-US" w:eastAsia="zh-CN"/>
                    </w:rPr>
                    <w:t>加强废弃物有效处理</w:t>
                  </w:r>
                </w:p>
              </w:tc>
              <w:tc>
                <w:tcPr>
                  <w:tcW w:w="1153"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行政人力资源部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粉尘、烟尘、废水达标排放，达标率 100%；</w:t>
                  </w:r>
                </w:p>
              </w:tc>
              <w:tc>
                <w:tcPr>
                  <w:tcW w:w="3210" w:type="dxa"/>
                  <w:shd w:val="clear" w:color="auto" w:fill="auto"/>
                  <w:vAlign w:val="center"/>
                </w:tcPr>
                <w:p>
                  <w:pPr>
                    <w:shd w:val="clear" w:color="auto" w:fill="EBF1DE" w:themeFill="accent3" w:themeFillTint="32"/>
                    <w:rPr>
                      <w:rFonts w:hint="eastAsia" w:ascii="宋体" w:hAnsi="宋体"/>
                      <w:lang w:val="en-US" w:eastAsia="zh-CN"/>
                    </w:rPr>
                  </w:pPr>
                  <w:r>
                    <w:rPr>
                      <w:rFonts w:hint="eastAsia" w:ascii="宋体" w:hAnsi="宋体"/>
                      <w:lang w:val="en-US" w:eastAsia="zh-CN"/>
                    </w:rPr>
                    <w:t>1.建立并完善环境管理制度，将与责任分解落实，并对目标的实现情况进行监督检查；</w:t>
                  </w:r>
                </w:p>
                <w:p>
                  <w:pPr>
                    <w:shd w:val="clear" w:color="auto" w:fill="EBF1DE" w:themeFill="accent3" w:themeFillTint="32"/>
                    <w:rPr>
                      <w:rFonts w:ascii="宋体" w:hAnsi="宋体"/>
                    </w:rPr>
                  </w:pPr>
                  <w:r>
                    <w:rPr>
                      <w:rFonts w:hint="eastAsia" w:ascii="宋体" w:hAnsi="宋体"/>
                      <w:lang w:val="en-US" w:eastAsia="zh-CN"/>
                    </w:rPr>
                    <w:t>2.</w:t>
                  </w:r>
                  <w:r>
                    <w:rPr>
                      <w:rFonts w:hint="eastAsia" w:ascii="宋体" w:hAnsi="宋体"/>
                    </w:rPr>
                    <w:t>对工作人员进行教育培训，增强员工的环保意识和技术水平</w:t>
                  </w:r>
                </w:p>
              </w:tc>
              <w:tc>
                <w:tcPr>
                  <w:tcW w:w="1153" w:type="dxa"/>
                  <w:shd w:val="clear" w:color="auto" w:fill="auto"/>
                  <w:vAlign w:val="center"/>
                </w:tcPr>
                <w:p>
                  <w:pPr>
                    <w:shd w:val="clear" w:color="auto" w:fill="EBF1DE" w:themeFill="accent3" w:themeFillTint="32"/>
                    <w:ind w:firstLine="210" w:firstLineChars="100"/>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shd w:val="clear" w:color="auto" w:fill="EBF1DE" w:themeFill="accent3" w:themeFillTint="32"/>
                  </w:pPr>
                </w:p>
              </w:tc>
              <w:tc>
                <w:tcPr>
                  <w:tcW w:w="3210" w:type="dxa"/>
                  <w:shd w:val="clear" w:color="auto" w:fill="auto"/>
                  <w:vAlign w:val="center"/>
                </w:tcPr>
                <w:p>
                  <w:pPr>
                    <w:shd w:val="clear" w:color="auto" w:fill="EBF1DE" w:themeFill="accent3" w:themeFillTint="32"/>
                    <w:rPr>
                      <w:rFonts w:ascii="宋体" w:hAnsi="宋体"/>
                    </w:rPr>
                  </w:pPr>
                </w:p>
              </w:tc>
              <w:tc>
                <w:tcPr>
                  <w:tcW w:w="115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shd w:val="clear" w:color="auto" w:fill="EBF1DE" w:themeFill="accent3" w:themeFillTint="32"/>
                  </w:pPr>
                </w:p>
              </w:tc>
              <w:tc>
                <w:tcPr>
                  <w:tcW w:w="3210" w:type="dxa"/>
                  <w:shd w:val="clear" w:color="auto" w:fill="auto"/>
                  <w:vAlign w:val="center"/>
                </w:tcPr>
                <w:p>
                  <w:pPr>
                    <w:shd w:val="clear" w:color="auto" w:fill="EBF1DE" w:themeFill="accent3" w:themeFillTint="32"/>
                    <w:rPr>
                      <w:rFonts w:ascii="宋体" w:hAnsi="宋体"/>
                    </w:rPr>
                  </w:pPr>
                </w:p>
              </w:tc>
              <w:tc>
                <w:tcPr>
                  <w:tcW w:w="115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建筑面积13000平方米；生产车间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喷雾干燥器</w:t>
            </w:r>
            <w:r>
              <w:rPr>
                <w:rFonts w:hint="eastAsia"/>
                <w:u w:val="single"/>
                <w:lang w:eastAsia="zh-CN"/>
              </w:rPr>
              <w:t>、</w:t>
            </w:r>
            <w:r>
              <w:rPr>
                <w:rFonts w:hint="eastAsia"/>
                <w:u w:val="single"/>
              </w:rPr>
              <w:t>高速搅拌磨(50L)</w:t>
            </w:r>
            <w:r>
              <w:rPr>
                <w:rFonts w:hint="eastAsia"/>
                <w:u w:val="single"/>
                <w:lang w:eastAsia="zh-CN"/>
              </w:rPr>
              <w:t>、</w:t>
            </w:r>
            <w:r>
              <w:rPr>
                <w:rFonts w:hint="eastAsia"/>
                <w:u w:val="single"/>
              </w:rPr>
              <w:t>液压成型机</w:t>
            </w:r>
            <w:r>
              <w:rPr>
                <w:rFonts w:hint="eastAsia"/>
                <w:u w:val="single"/>
                <w:lang w:eastAsia="zh-CN"/>
              </w:rPr>
              <w:t>、</w:t>
            </w:r>
            <w:r>
              <w:rPr>
                <w:rFonts w:hint="eastAsia"/>
                <w:u w:val="single"/>
              </w:rPr>
              <w:t>排胶隧道炉</w:t>
            </w:r>
            <w:r>
              <w:rPr>
                <w:rFonts w:hint="eastAsia"/>
                <w:u w:val="single"/>
                <w:lang w:eastAsia="zh-CN"/>
              </w:rPr>
              <w:t>、</w:t>
            </w:r>
            <w:r>
              <w:rPr>
                <w:rFonts w:hint="eastAsia"/>
                <w:u w:val="single"/>
              </w:rPr>
              <w:t>烧成隧道炉</w:t>
            </w:r>
            <w:r>
              <w:rPr>
                <w:rFonts w:hint="eastAsia"/>
                <w:u w:val="single"/>
                <w:lang w:eastAsia="zh-CN"/>
              </w:rPr>
              <w:t>、</w:t>
            </w:r>
            <w:r>
              <w:rPr>
                <w:rFonts w:hint="eastAsia"/>
                <w:u w:val="single"/>
              </w:rPr>
              <w:t>热处理炉</w:t>
            </w:r>
            <w:r>
              <w:rPr>
                <w:rFonts w:hint="eastAsia"/>
                <w:u w:val="single"/>
                <w:lang w:eastAsia="zh-CN"/>
              </w:rPr>
              <w:t>、</w:t>
            </w:r>
            <w:r>
              <w:rPr>
                <w:rFonts w:hint="eastAsia"/>
                <w:u w:val="single"/>
              </w:rPr>
              <w:t>磨片机</w:t>
            </w:r>
            <w:r>
              <w:rPr>
                <w:rFonts w:hint="eastAsia"/>
                <w:u w:val="single"/>
                <w:lang w:eastAsia="zh-CN"/>
              </w:rPr>
              <w:t>、</w:t>
            </w:r>
            <w:r>
              <w:rPr>
                <w:rFonts w:hint="eastAsia"/>
                <w:u w:val="single"/>
              </w:rPr>
              <w:t>喷铝机</w:t>
            </w:r>
            <w:r>
              <w:rPr>
                <w:rFonts w:hint="eastAsia"/>
                <w:u w:val="single"/>
                <w:lang w:eastAsia="zh-CN"/>
              </w:rPr>
              <w:t>、</w:t>
            </w:r>
            <w:r>
              <w:rPr>
                <w:rFonts w:hint="eastAsia"/>
                <w:u w:val="single"/>
              </w:rPr>
              <w:t>电阻片测试设备</w:t>
            </w:r>
            <w:r>
              <w:rPr>
                <w:rFonts w:hint="eastAsia"/>
                <w:u w:val="single"/>
                <w:lang w:eastAsia="zh-CN"/>
              </w:rPr>
              <w:t>、</w:t>
            </w:r>
            <w:r>
              <w:rPr>
                <w:rFonts w:hint="eastAsia"/>
                <w:u w:val="single"/>
              </w:rPr>
              <w:t>橡胶成型设备</w:t>
            </w:r>
            <w:r>
              <w:rPr>
                <w:rFonts w:hint="eastAsia"/>
                <w:u w:val="single"/>
                <w:lang w:eastAsia="zh-CN"/>
              </w:rPr>
              <w:t>、</w:t>
            </w:r>
            <w:r>
              <w:rPr>
                <w:rFonts w:hint="eastAsia"/>
                <w:u w:val="single"/>
              </w:rPr>
              <w:t>高压试验设备</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rPr>
              <w:t>废水综合处理系统</w:t>
            </w:r>
            <w:r>
              <w:rPr>
                <w:rFonts w:hint="eastAsia"/>
                <w:u w:val="single"/>
                <w:lang w:eastAsia="zh-CN"/>
              </w:rPr>
              <w:t>、布袋除尘器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氧化锌避雷器直流参数测试仪</w:t>
            </w:r>
            <w:r>
              <w:rPr>
                <w:rFonts w:hint="eastAsia"/>
                <w:u w:val="single"/>
                <w:lang w:eastAsia="zh-CN"/>
              </w:rPr>
              <w:t>、脉冲峰值电压表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u w:val="single"/>
              </w:rPr>
            </w:pPr>
            <w:r>
              <w:rPr>
                <w:rFonts w:hint="eastAsia"/>
              </w:rPr>
              <w:t>审核期间内，设计和开发新产品/项目名称：</w:t>
            </w:r>
            <w:r>
              <w:rPr>
                <w:rFonts w:hint="eastAsia"/>
                <w:u w:val="single"/>
                <w:lang w:eastAsia="zh-CN"/>
              </w:rPr>
              <w:t>“</w:t>
            </w:r>
            <w:r>
              <w:rPr>
                <w:rFonts w:hint="eastAsia"/>
                <w:u w:val="single"/>
              </w:rPr>
              <w:t>0.75～3kV 直流轨道交通用金属氧化物避雷器”</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eastAsia"/>
                      <w:lang w:val="en-US" w:eastAsia="zh-CN"/>
                    </w:rPr>
                  </w:pPr>
                  <w:r>
                    <w:rPr>
                      <w:rFonts w:hint="eastAsia"/>
                      <w:lang w:val="en-US" w:eastAsia="zh-CN"/>
                    </w:rPr>
                    <w:t>1.生产污水经简易沉淀处理后，排入工业园区排水管网。</w:t>
                  </w:r>
                </w:p>
                <w:p>
                  <w:pPr>
                    <w:shd w:val="clear" w:color="auto" w:fill="EBF1DE" w:themeFill="accent3" w:themeFillTint="32"/>
                    <w:jc w:val="left"/>
                  </w:pPr>
                  <w:r>
                    <w:rPr>
                      <w:rFonts w:hint="eastAsia"/>
                      <w:lang w:val="en-US" w:eastAsia="zh-CN"/>
                    </w:rPr>
                    <w:t>2.</w:t>
                  </w:r>
                  <w:r>
                    <w:rPr>
                      <w:rFonts w:hint="eastAsia"/>
                    </w:rPr>
                    <w:t>生活污水经化粪池处理后，排入园区下水管网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rPr>
                    <w:t>除尘后排气筒距地面高度15m</w:t>
                  </w:r>
                  <w:r>
                    <w:rPr>
                      <w:rFonts w:hint="eastAsia"/>
                      <w:lang w:val="en-US" w:eastAsia="zh-CN"/>
                    </w:rPr>
                    <w:t>排放。</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rPr>
                    <w:t>采用建筑隔声措施。通过采用减振、建筑隔声等措施</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固体废物主要为金刚砂磨屑和生活垃圾</w:t>
                  </w:r>
                  <w:r>
                    <w:rPr>
                      <w:rFonts w:hint="eastAsia"/>
                      <w:lang w:eastAsia="zh-CN"/>
                    </w:rPr>
                    <w:t>，</w:t>
                  </w:r>
                  <w:r>
                    <w:rPr>
                      <w:rFonts w:hint="eastAsia"/>
                    </w:rPr>
                    <w:t>集中收集后，由园区环卫部门统一处置。</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公司生产车间和办公区域配备了灭火器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eastAsia"/>
                <w:u w:val="single"/>
                <w:lang w:eastAsia="zh-CN"/>
              </w:rPr>
            </w:pPr>
            <w:r>
              <w:rPr>
                <w:rFonts w:hint="eastAsia"/>
              </w:rPr>
              <w:t>《环境监测报告》编号：</w:t>
            </w:r>
            <w:r>
              <w:rPr>
                <w:rFonts w:hint="eastAsia"/>
                <w:u w:val="single"/>
              </w:rPr>
              <w:t>陕晟综合水监字(2022)</w:t>
            </w:r>
            <w:r>
              <w:rPr>
                <w:rFonts w:hint="eastAsia"/>
                <w:u w:val="single"/>
                <w:lang w:val="en-US" w:eastAsia="zh-CN"/>
              </w:rPr>
              <w:t>第</w:t>
            </w:r>
            <w:r>
              <w:rPr>
                <w:rFonts w:hint="eastAsia"/>
                <w:u w:val="single"/>
              </w:rPr>
              <w:t>03029号</w:t>
            </w:r>
            <w:r>
              <w:rPr>
                <w:rFonts w:hint="eastAsia"/>
                <w:u w:val="single"/>
                <w:lang w:eastAsia="zh-CN"/>
              </w:rPr>
              <w:t>、</w:t>
            </w:r>
          </w:p>
          <w:p>
            <w:pPr>
              <w:shd w:val="clear" w:color="auto" w:fill="EBF1DE" w:themeFill="accent3" w:themeFillTint="32"/>
              <w:ind w:firstLine="2310" w:firstLineChars="1100"/>
              <w:rPr>
                <w:u w:val="single"/>
              </w:rPr>
            </w:pPr>
            <w:r>
              <w:rPr>
                <w:rFonts w:hint="eastAsia"/>
                <w:u w:val="single"/>
                <w:lang w:eastAsia="zh-CN"/>
              </w:rPr>
              <w:t>陕晟综合噪声监字(2022)第03029</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rPr>
              <w:t>2022年3月24日至3月25日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最高管理者已按策划的时间间隔，在2022年3月28日对组织的环境管理体系进行了评审，以确保其持续的适宜性、充分性和有效性；管理评审输入、输出均按要求提供。并对提出的改进措施进行了落实。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w:t>
            </w:r>
            <w:r>
              <w:rPr>
                <w:rFonts w:hint="eastAsia"/>
                <w:lang w:eastAsia="zh-CN"/>
              </w:rPr>
              <w:t>☑</w:t>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精益求精追求卓越   节能减排预防污染   以人为本关爱生命   遵纪守法创新发展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职业健康的主管部门是—行政人力资源部</w:t>
            </w:r>
          </w:p>
          <w:p>
            <w:r>
              <w:rPr>
                <w:rFonts w:hint="eastAsia"/>
              </w:rPr>
              <w:t>安全的主管部门是—行政人力资源部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员工代表是—张建良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lang w:val="en-US" w:eastAsia="zh-CN"/>
                    </w:rPr>
                    <w:t>来自当地安全部门的监察</w:t>
                  </w:r>
                </w:p>
              </w:tc>
              <w:tc>
                <w:tcPr>
                  <w:tcW w:w="3965" w:type="dxa"/>
                  <w:vAlign w:val="top"/>
                </w:tcPr>
                <w:p>
                  <w:r>
                    <w:rPr>
                      <w:rFonts w:hint="eastAsia" w:ascii="Times New Roman" w:hAnsi="Times New Roman" w:eastAsia="宋体" w:cs="Times New Roman"/>
                      <w:lang w:val="en-US" w:eastAsia="zh-CN"/>
                    </w:rPr>
                    <w:t>合规合法经营</w:t>
                  </w:r>
                </w:p>
              </w:tc>
              <w:tc>
                <w:tcPr>
                  <w:tcW w:w="1717" w:type="dxa"/>
                  <w:vAlign w:val="top"/>
                </w:tcPr>
                <w:p>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lang w:val="en-US" w:eastAsia="zh-CN"/>
                    </w:rPr>
                    <w:t>火灾</w:t>
                  </w:r>
                </w:p>
              </w:tc>
              <w:tc>
                <w:tcPr>
                  <w:tcW w:w="3965" w:type="dxa"/>
                  <w:vAlign w:val="top"/>
                </w:tcPr>
                <w:p>
                  <w:r>
                    <w:rPr>
                      <w:rFonts w:hint="eastAsia" w:ascii="Times New Roman" w:hAnsi="Times New Roman" w:eastAsia="宋体" w:cs="Times New Roman"/>
                      <w:lang w:val="en-US" w:eastAsia="zh-CN"/>
                    </w:rPr>
                    <w:t>加强员工防火意识</w:t>
                  </w:r>
                </w:p>
              </w:tc>
              <w:tc>
                <w:tcPr>
                  <w:tcW w:w="1717" w:type="dxa"/>
                  <w:vAlign w:val="top"/>
                </w:tcPr>
                <w:p>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lang w:eastAsia="zh-CN"/>
              </w:rPr>
              <w:t>☑</w:t>
            </w:r>
            <w:r>
              <w:rPr>
                <w:rFonts w:hint="eastAsia"/>
              </w:rPr>
              <w:t>安全现状评估报告表日期：</w:t>
            </w:r>
            <w:r>
              <w:rPr>
                <w:rFonts w:hint="eastAsia"/>
                <w:lang w:val="en-US" w:eastAsia="zh-CN"/>
              </w:rPr>
              <w:t>2013.7.31</w:t>
            </w:r>
          </w:p>
          <w:p>
            <w:pPr>
              <w:rPr>
                <w:rFonts w:hint="default" w:eastAsia="宋体"/>
                <w:lang w:val="en-US" w:eastAsia="zh-CN"/>
              </w:rPr>
            </w:pPr>
            <w:r>
              <w:rPr>
                <w:rFonts w:hint="eastAsia"/>
              </w:rPr>
              <w:t>□职业病体检报告书日期：</w:t>
            </w:r>
            <w:r>
              <w:rPr>
                <w:rFonts w:hint="eastAsia"/>
                <w:lang w:val="en-US" w:eastAsia="zh-CN"/>
              </w:rPr>
              <w:t>2021.7.12 ， 2022年未做已经开具不符合。</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全年无重大安全事故和环保事故，工亡事故为零；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lang w:val="en-GB"/>
                    </w:rPr>
                  </w:pPr>
                  <w:r>
                    <w:rPr>
                      <w:rFonts w:hint="eastAsia"/>
                      <w:lang w:val="en-US" w:eastAsia="zh-CN"/>
                    </w:rPr>
                    <w:t>配置安全防护设施，要求员工佩戴安全防护用具</w:t>
                  </w:r>
                </w:p>
              </w:tc>
              <w:tc>
                <w:tcPr>
                  <w:tcW w:w="1350" w:type="dxa"/>
                  <w:shd w:val="clear" w:color="auto" w:fill="auto"/>
                  <w:vAlign w:val="center"/>
                </w:tcPr>
                <w:p>
                  <w:pPr>
                    <w:rPr>
                      <w:lang w:val="en-GB"/>
                    </w:rPr>
                  </w:pPr>
                  <w:r>
                    <w:rPr>
                      <w:rFonts w:hint="eastAsia"/>
                      <w:lang w:val="en-US" w:eastAsia="zh-CN"/>
                    </w:rPr>
                    <w:t>生产部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杜绝职业病的发生。</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rPr>
                      <w:rFonts w:ascii="宋体" w:hAnsi="宋体"/>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lang w:val="en-US" w:eastAsia="zh-CN"/>
                    </w:rPr>
                  </w:pPr>
                </w:p>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r>
              <w:rPr>
                <w:rFonts w:hint="eastAsia"/>
              </w:rPr>
              <w:t>建筑面积13000平方米；生产车间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rPr>
                <w:u w:val="single"/>
              </w:rPr>
            </w:pPr>
            <w:r>
              <w:rPr>
                <w:rFonts w:hint="eastAsia"/>
              </w:rPr>
              <w:t>主要生产设备有：</w:t>
            </w:r>
            <w:r>
              <w:rPr>
                <w:rFonts w:hint="eastAsia"/>
                <w:u w:val="single"/>
              </w:rPr>
              <w:t>喷雾干燥器</w:t>
            </w:r>
            <w:r>
              <w:rPr>
                <w:rFonts w:hint="eastAsia"/>
                <w:u w:val="single"/>
                <w:lang w:eastAsia="zh-CN"/>
              </w:rPr>
              <w:t>、</w:t>
            </w:r>
            <w:r>
              <w:rPr>
                <w:rFonts w:hint="eastAsia"/>
                <w:u w:val="single"/>
              </w:rPr>
              <w:t>高速搅拌磨(50L)</w:t>
            </w:r>
            <w:r>
              <w:rPr>
                <w:rFonts w:hint="eastAsia"/>
                <w:u w:val="single"/>
                <w:lang w:eastAsia="zh-CN"/>
              </w:rPr>
              <w:t>、</w:t>
            </w:r>
            <w:r>
              <w:rPr>
                <w:rFonts w:hint="eastAsia"/>
                <w:u w:val="single"/>
              </w:rPr>
              <w:t>液压成型机</w:t>
            </w:r>
            <w:r>
              <w:rPr>
                <w:rFonts w:hint="eastAsia"/>
                <w:u w:val="single"/>
                <w:lang w:eastAsia="zh-CN"/>
              </w:rPr>
              <w:t>、</w:t>
            </w:r>
            <w:r>
              <w:rPr>
                <w:rFonts w:hint="eastAsia"/>
                <w:u w:val="single"/>
              </w:rPr>
              <w:t>排胶隧道炉</w:t>
            </w:r>
          </w:p>
          <w:p>
            <w:pPr>
              <w:rPr>
                <w:rFonts w:hint="default"/>
                <w:lang w:val="en-US"/>
              </w:rPr>
            </w:pPr>
            <w:r>
              <w:rPr>
                <w:rFonts w:hint="eastAsia"/>
              </w:rPr>
              <w:t>主要安全装置有：</w:t>
            </w:r>
            <w:r>
              <w:rPr>
                <w:rFonts w:hint="eastAsia"/>
                <w:u w:val="single"/>
                <w:lang w:val="en-US" w:eastAsia="zh-CN"/>
              </w:rPr>
              <w:t>灭火器、安全护栏</w:t>
            </w:r>
          </w:p>
          <w:p>
            <w:pPr>
              <w:rPr>
                <w:u w:val="single"/>
              </w:rPr>
            </w:pPr>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Pr>
              <w:rPr>
                <w:rFonts w:hint="eastAsia"/>
              </w:rPr>
            </w:pP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eastAsia="zh-CN"/>
              </w:rPr>
              <w:t>“</w:t>
            </w:r>
            <w:r>
              <w:rPr>
                <w:rFonts w:hint="eastAsia"/>
                <w:u w:val="single"/>
              </w:rPr>
              <w:t>0.75～3kV 直流轨道交通用金属氧化物避雷器”</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lang w:eastAsia="zh-CN"/>
                    </w:rPr>
                    <w:t>□</w:t>
                  </w: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2021年11月1日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rPr>
              <w:t>2022年3月24日至3月25日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9E3657"/>
    <w:rsid w:val="480C76E0"/>
    <w:rsid w:val="54970426"/>
    <w:rsid w:val="7C9D1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2022-04-21T06:46:59Z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eyJoZGlkIjoiMjJhN2U4Y2Q5MGE2Mzc1MDlkNDVmNzZkYmRlMTYyYjcifQ==</vt:lpwstr>
  </property>
</Properties>
</file>