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-50800</wp:posOffset>
            </wp:positionH>
            <wp:positionV relativeFrom="paragraph">
              <wp:posOffset>39370</wp:posOffset>
            </wp:positionV>
            <wp:extent cx="6456680" cy="8355965"/>
            <wp:effectExtent l="0" t="0" r="7620" b="635"/>
            <wp:wrapNone/>
            <wp:docPr id="2" name="图片 2" descr="扫描文稿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文稿_06"/>
                    <pic:cNvPicPr>
                      <a:picLocks noChangeAspect="1"/>
                    </pic:cNvPicPr>
                  </pic:nvPicPr>
                  <pic:blipFill>
                    <a:blip r:embed="rId6"/>
                    <a:stretch>
                      <a:fillRect/>
                    </a:stretch>
                  </pic:blipFill>
                  <pic:spPr>
                    <a:xfrm>
                      <a:off x="0" y="0"/>
                      <a:ext cx="6456680" cy="835596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河北彩子广告有限公司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0294-2022-QEO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EA68B2"/>
    <w:rsid w:val="6FEC1E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2022-04-17T06:35:32Z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