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河北上晟管业有限公司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Pr>
                <w:rFonts w:hint="eastAsia"/>
                <w:sz w:val="22"/>
                <w:szCs w:val="22"/>
              </w:rPr>
              <w:sym w:font="Wingdings 2" w:char="0052"/>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3960" w:firstLineChars="18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3" w:name="_GoBack"/>
            <w:bookmarkEnd w:id="13"/>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79001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2022-05-11T01:54:59Z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