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0328-2022-EnMs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浙江大民家具有限公司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2022年04月15日 上午至2022年04月15日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color w:val="000000"/>
                <w:szCs w:val="21"/>
              </w:rPr>
              <w:t>能源认证标准</w:t>
            </w:r>
            <w:r>
              <w:rPr>
                <w:rFonts w:hint="eastAsia" w:ascii="宋体" w:hAnsi="宋体"/>
                <w:b/>
                <w:color w:val="000000"/>
                <w:szCs w:val="21"/>
                <w:lang w:val="de-DE"/>
              </w:rPr>
              <w:t>：</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b/>
                <w:color w:val="0000FF"/>
                <w:szCs w:val="21"/>
                <w:lang w:val="en-US" w:eastAsia="zh-CN"/>
              </w:rPr>
            </w:pPr>
            <w:r>
              <w:rPr>
                <w:rFonts w:hint="eastAsia" w:ascii="宋体"/>
                <w:b/>
                <w:color w:val="0000FF"/>
                <w:szCs w:val="21"/>
                <w:lang w:val="en-US" w:eastAsia="zh-CN"/>
              </w:rPr>
              <w:t>河北省石家庄市/湖北省荆州市/浙江省杭州市</w:t>
            </w:r>
          </w:p>
          <w:p>
            <w:pPr>
              <w:rPr>
                <w:rFonts w:hint="eastAsia" w:ascii="宋体"/>
                <w:b/>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宋翠琳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2021-N0EnMS-1082241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王益枫</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ISC-JSZJ-520</w:t>
            </w:r>
          </w:p>
          <w:p>
            <w:pPr>
              <w:spacing w:line="240" w:lineRule="exact"/>
              <w:jc w:val="center"/>
              <w:rPr>
                <w:b/>
                <w:color w:val="000000"/>
                <w:szCs w:val="21"/>
              </w:rPr>
            </w:pPr>
            <w:r>
              <w:rPr>
                <w:b/>
                <w:color w:val="000000"/>
                <w:szCs w:val="21"/>
              </w:rPr>
              <w:t>启迪城服（杭州）环境科技有限公司</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浙江大民家具有限公司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浙江省湖州市德清县钟管镇东坝斗村高兴桥北枉</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313200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浙江省湖州市南浔开发区东迁强园路北侧</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313000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王佳君</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13505736802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王佳君</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王佳君</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家具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家具售后服务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生产计划——原材料采购——裁切排孔——封边——组装——包装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rPr>
                <w:sz w:val="20"/>
              </w:rPr>
              <w:t>家具制造所涉及的能源管理活动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03"/>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浙江大民家具有限公司</w:t>
            </w:r>
            <w:r>
              <w:rPr>
                <w:rFonts w:hint="eastAsia"/>
                <w:sz w:val="21"/>
                <w:szCs w:val="21"/>
                <w:lang w:val="en-US" w:eastAsia="zh-CN"/>
              </w:rPr>
              <w:t>/</w:t>
            </w:r>
            <w:r>
              <w:rPr>
                <w:rFonts w:asciiTheme="minorEastAsia" w:hAnsiTheme="minorEastAsia" w:eastAsiaTheme="minorEastAsia"/>
                <w:sz w:val="20"/>
              </w:rPr>
              <w:t>浙江省湖州市德清县钟管镇东坝斗村高兴桥北枉</w:t>
            </w:r>
          </w:p>
        </w:tc>
        <w:tc>
          <w:tcPr>
            <w:tcW w:w="2267" w:type="dxa"/>
          </w:tcPr>
          <w:p>
            <w:pPr>
              <w:spacing w:before="40" w:after="40"/>
              <w:rPr>
                <w:rFonts w:eastAsia="黑体"/>
                <w:szCs w:val="21"/>
                <w:lang w:val="de-DE" w:eastAsia="ja-JP"/>
              </w:rPr>
            </w:pPr>
            <w:r>
              <w:rPr>
                <w:rFonts w:asciiTheme="minorEastAsia" w:hAnsiTheme="minorEastAsia" w:eastAsiaTheme="minorEastAsia"/>
                <w:sz w:val="20"/>
              </w:rPr>
              <w:t>浙江省湖州市南浔开发区东迁强园路北侧</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003" w:type="dxa"/>
            <w:vAlign w:val="center"/>
          </w:tcPr>
          <w:p>
            <w:pPr>
              <w:pStyle w:val="19"/>
              <w:rPr>
                <w:rFonts w:eastAsia="黑体" w:cs="Arial"/>
                <w:sz w:val="21"/>
                <w:szCs w:val="21"/>
                <w:lang w:val="en-US" w:eastAsia="ja-JP"/>
              </w:rPr>
            </w:pPr>
            <w:r>
              <w:rPr>
                <w:sz w:val="20"/>
              </w:rPr>
              <w:t>家具制造所涉及的能源管理活动</w:t>
            </w:r>
          </w:p>
        </w:tc>
        <w:tc>
          <w:tcPr>
            <w:tcW w:w="14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03" w:type="dxa"/>
            <w:vAlign w:val="center"/>
          </w:tcPr>
          <w:p>
            <w:pPr>
              <w:spacing w:before="40" w:after="40"/>
              <w:rPr>
                <w:rFonts w:eastAsia="黑体"/>
                <w:szCs w:val="21"/>
                <w:lang w:eastAsia="ja-JP"/>
              </w:rPr>
            </w:pPr>
          </w:p>
        </w:tc>
        <w:tc>
          <w:tcPr>
            <w:tcW w:w="14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03" w:type="dxa"/>
            <w:vAlign w:val="center"/>
          </w:tcPr>
          <w:p>
            <w:pPr>
              <w:spacing w:before="40" w:after="40"/>
              <w:rPr>
                <w:rFonts w:eastAsia="黑体"/>
                <w:szCs w:val="21"/>
                <w:lang w:eastAsia="ja-JP"/>
              </w:rPr>
            </w:pPr>
          </w:p>
        </w:tc>
        <w:tc>
          <w:tcPr>
            <w:tcW w:w="14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03" w:type="dxa"/>
            <w:vAlign w:val="center"/>
          </w:tcPr>
          <w:p>
            <w:pPr>
              <w:spacing w:before="40" w:after="40"/>
              <w:rPr>
                <w:rFonts w:eastAsia="黑体"/>
                <w:szCs w:val="21"/>
                <w:lang w:eastAsia="ja-JP"/>
              </w:rPr>
            </w:pPr>
          </w:p>
        </w:tc>
        <w:tc>
          <w:tcPr>
            <w:tcW w:w="14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03" w:type="dxa"/>
            <w:vAlign w:val="center"/>
          </w:tcPr>
          <w:p>
            <w:pPr>
              <w:spacing w:before="40" w:after="40"/>
              <w:rPr>
                <w:rFonts w:eastAsia="黑体"/>
                <w:szCs w:val="21"/>
                <w:lang w:eastAsia="ja-JP"/>
              </w:rPr>
            </w:pPr>
          </w:p>
        </w:tc>
        <w:tc>
          <w:tcPr>
            <w:tcW w:w="14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w:t>
            </w:r>
            <w:r>
              <w:rPr>
                <w:rFonts w:hint="eastAsia" w:ascii="宋体" w:hAnsi="宋体"/>
                <w:b/>
                <w:color w:val="000000"/>
                <w:szCs w:val="21"/>
                <w:lang w:val="en-US" w:eastAsia="zh-CN"/>
              </w:rPr>
              <w:t>能源</w:t>
            </w:r>
            <w:r>
              <w:rPr>
                <w:rFonts w:hint="eastAsia" w:ascii="宋体" w:hAnsi="宋体"/>
                <w:b/>
                <w:color w:val="000000"/>
                <w:szCs w:val="21"/>
              </w:rPr>
              <w:t>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5-6</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highlight w:val="none"/>
                <w:u w:val="single"/>
                <w:lang w:val="en-US" w:eastAsia="zh-CN"/>
              </w:rPr>
              <w:t>年11月20日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无限额要求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r>
              <w:rPr>
                <w:rFonts w:hint="eastAsia" w:ascii="宋体" w:hAnsi="宋体"/>
                <w:color w:val="000000"/>
                <w:szCs w:val="21"/>
                <w:lang w:eastAsia="zh-CN"/>
              </w:rPr>
              <w:t>——</w:t>
            </w:r>
            <w:r>
              <w:rPr>
                <w:rFonts w:hint="eastAsia" w:ascii="宋体" w:hAnsi="宋体"/>
                <w:color w:val="000000"/>
                <w:szCs w:val="21"/>
                <w:lang w:val="en-US" w:eastAsia="zh-CN"/>
              </w:rPr>
              <w:t>无节能报告</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2022-04-1</w:t>
            </w:r>
            <w:bookmarkEnd w:id="33"/>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w:t>
            </w:r>
            <w:r>
              <w:rPr>
                <w:rFonts w:hint="eastAsia" w:ascii="宋体" w:hAnsi="宋体"/>
                <w:b/>
                <w:color w:val="000000"/>
                <w:szCs w:val="21"/>
                <w:lang w:val="en-US" w:eastAsia="zh-CN"/>
              </w:rPr>
              <w:t>审核</w:t>
            </w:r>
            <w:r>
              <w:rPr>
                <w:rFonts w:hint="eastAsia" w:ascii="宋体" w:hAnsi="宋体"/>
                <w:b/>
                <w:color w:val="000000"/>
                <w:szCs w:val="21"/>
              </w:rPr>
              <w:t>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r>
              <w:rPr>
                <w:sz w:val="20"/>
              </w:rPr>
              <w:t>家具制造所涉及的能源管理活动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rPr>
          <w:rFonts w:hint="default" w:ascii="宋体" w:hAnsi="宋体" w:eastAsia="宋体"/>
          <w:b/>
          <w:bCs/>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1345565</wp:posOffset>
            </wp:positionH>
            <wp:positionV relativeFrom="paragraph">
              <wp:posOffset>-89535</wp:posOffset>
            </wp:positionV>
            <wp:extent cx="772795" cy="324485"/>
            <wp:effectExtent l="0" t="0" r="0" b="5080"/>
            <wp:wrapSquare wrapText="bothSides"/>
            <wp:docPr id="5"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李丽英电子签"/>
                    <pic:cNvPicPr>
                      <a:picLocks noChangeAspect="1"/>
                    </pic:cNvPicPr>
                  </pic:nvPicPr>
                  <pic:blipFill>
                    <a:blip r:embed="rId6"/>
                    <a:stretch>
                      <a:fillRect/>
                    </a:stretch>
                  </pic:blipFill>
                  <pic:spPr>
                    <a:xfrm>
                      <a:off x="0" y="0"/>
                      <a:ext cx="772795" cy="324485"/>
                    </a:xfrm>
                    <a:prstGeom prst="rect">
                      <a:avLst/>
                    </a:prstGeom>
                    <a:noFill/>
                    <a:ln>
                      <a:noFill/>
                    </a:ln>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sz w:val="21"/>
        </w:rPr>
        <w:drawing>
          <wp:anchor distT="0" distB="0" distL="114300" distR="114300" simplePos="0" relativeHeight="251661312" behindDoc="0" locked="0" layoutInCell="1" allowOverlap="1">
            <wp:simplePos x="0" y="0"/>
            <wp:positionH relativeFrom="column">
              <wp:posOffset>4231640</wp:posOffset>
            </wp:positionH>
            <wp:positionV relativeFrom="paragraph">
              <wp:posOffset>-101600</wp:posOffset>
            </wp:positionV>
            <wp:extent cx="698500" cy="298450"/>
            <wp:effectExtent l="0" t="0" r="0" b="6350"/>
            <wp:wrapSquare wrapText="bothSides"/>
            <wp:docPr id="3" name="图片 2" descr="a7d3a17874fcde1bbcec9976d793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a7d3a17874fcde1bbcec9976d793b6a"/>
                    <pic:cNvPicPr>
                      <a:picLocks noChangeAspect="1"/>
                    </pic:cNvPicPr>
                  </pic:nvPicPr>
                  <pic:blipFill>
                    <a:blip r:embed="rId7"/>
                    <a:stretch>
                      <a:fillRect/>
                    </a:stretch>
                  </pic:blipFill>
                  <pic:spPr>
                    <a:xfrm>
                      <a:off x="0" y="0"/>
                      <a:ext cx="698500" cy="298450"/>
                    </a:xfrm>
                    <a:prstGeom prst="rect">
                      <a:avLst/>
                    </a:prstGeom>
                    <a:noFill/>
                    <a:ln>
                      <a:noFill/>
                    </a:ln>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bCs/>
          <w:color w:val="000000"/>
          <w:szCs w:val="21"/>
          <w:lang w:val="en-US" w:eastAsia="zh-CN"/>
        </w:rPr>
        <w:t>2022.4.15</w:t>
      </w:r>
    </w:p>
    <w:p>
      <w:pPr>
        <w:tabs>
          <w:tab w:val="left" w:pos="645"/>
        </w:tabs>
        <w:spacing w:after="156" w:afterLines="50" w:line="360" w:lineRule="exact"/>
        <w:rPr>
          <w:rFonts w:ascii="宋体"/>
          <w:b/>
          <w:color w:val="000000"/>
          <w:szCs w:val="21"/>
        </w:rPr>
      </w:pPr>
      <w:r>
        <w:drawing>
          <wp:anchor distT="0" distB="0" distL="114300" distR="114300" simplePos="0" relativeHeight="251660288" behindDoc="0" locked="0" layoutInCell="1" allowOverlap="1">
            <wp:simplePos x="0" y="0"/>
            <wp:positionH relativeFrom="column">
              <wp:posOffset>4127500</wp:posOffset>
            </wp:positionH>
            <wp:positionV relativeFrom="paragraph">
              <wp:posOffset>5080</wp:posOffset>
            </wp:positionV>
            <wp:extent cx="838200" cy="277495"/>
            <wp:effectExtent l="0" t="0" r="0" b="19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838200" cy="277495"/>
                    </a:xfrm>
                    <a:prstGeom prst="rect">
                      <a:avLst/>
                    </a:prstGeom>
                    <a:noFill/>
                    <a:ln>
                      <a:noFill/>
                    </a:ln>
                  </pic:spPr>
                </pic:pic>
              </a:graphicData>
            </a:graphic>
          </wp:anchor>
        </w:drawing>
      </w: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浙江大民家具有限公司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法律法规清单中部分法律已失效</w:t>
            </w:r>
          </w:p>
        </w:tc>
        <w:tc>
          <w:tcPr>
            <w:tcW w:w="922" w:type="dxa"/>
            <w:vAlign w:val="center"/>
          </w:tcPr>
          <w:p>
            <w:pPr>
              <w:pStyle w:val="6"/>
              <w:pBdr>
                <w:bottom w:val="none" w:color="auto" w:sz="0" w:space="0"/>
              </w:pBdr>
              <w:tabs>
                <w:tab w:val="center" w:pos="5737"/>
                <w:tab w:val="clear" w:pos="4153"/>
              </w:tabs>
              <w:jc w:val="both"/>
              <w:rPr>
                <w:rFonts w:hint="default" w:cs="Times New Roman"/>
                <w:color w:val="000000"/>
                <w:sz w:val="21"/>
                <w:szCs w:val="21"/>
                <w:lang w:val="en-US" w:eastAsia="zh-CN"/>
              </w:rPr>
            </w:pPr>
            <w:r>
              <w:rPr>
                <w:rFonts w:hint="eastAsia" w:cs="Times New Roman"/>
                <w:color w:val="000000"/>
                <w:sz w:val="21"/>
                <w:szCs w:val="21"/>
                <w:lang w:val="en-US" w:eastAsia="zh-CN"/>
              </w:rPr>
              <w:t>En</w:t>
            </w:r>
          </w:p>
        </w:tc>
        <w:tc>
          <w:tcPr>
            <w:tcW w:w="1133" w:type="dxa"/>
            <w:vAlign w:val="center"/>
          </w:tcPr>
          <w:p>
            <w:pPr>
              <w:pStyle w:val="6"/>
              <w:pBdr>
                <w:bottom w:val="none" w:color="auto" w:sz="0" w:space="0"/>
              </w:pBdr>
              <w:tabs>
                <w:tab w:val="center" w:pos="5737"/>
                <w:tab w:val="clear" w:pos="4153"/>
              </w:tabs>
              <w:jc w:val="both"/>
              <w:rPr>
                <w:rFonts w:hint="default" w:cs="Times New Roman"/>
                <w:color w:val="000000"/>
                <w:sz w:val="21"/>
                <w:szCs w:val="21"/>
                <w:lang w:val="en-US" w:eastAsia="zh-CN"/>
              </w:rPr>
            </w:pPr>
            <w:r>
              <w:rPr>
                <w:rFonts w:hint="eastAsia" w:cs="Times New Roman"/>
                <w:color w:val="000000"/>
                <w:sz w:val="21"/>
                <w:szCs w:val="21"/>
                <w:lang w:val="en-US" w:eastAsia="zh-CN"/>
              </w:rPr>
              <w:t>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ascii="宋体" w:hAnsi="宋体"/>
                <w:sz w:val="21"/>
                <w:szCs w:val="22"/>
                <w:lang w:val="en-US" w:eastAsia="zh-CN"/>
              </w:rPr>
              <w:t>能源评审控制程序描述的能源评审的内容与标准要求有欠缺。</w:t>
            </w: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sz w:val="21"/>
                <w:szCs w:val="21"/>
                <w:lang w:val="en-US" w:eastAsia="zh-CN"/>
              </w:rPr>
              <w:t>En</w:t>
            </w:r>
          </w:p>
        </w:tc>
        <w:tc>
          <w:tcPr>
            <w:tcW w:w="1133"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sz w:val="21"/>
                <w:szCs w:val="21"/>
                <w:lang w:val="en-US" w:eastAsia="zh-CN"/>
              </w:rPr>
              <w:t>6.3</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1119505</wp:posOffset>
                  </wp:positionH>
                  <wp:positionV relativeFrom="paragraph">
                    <wp:posOffset>45720</wp:posOffset>
                  </wp:positionV>
                  <wp:extent cx="982345" cy="319405"/>
                  <wp:effectExtent l="0" t="0" r="0" b="10795"/>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9"/>
                          <a:stretch>
                            <a:fillRect/>
                          </a:stretch>
                        </pic:blipFill>
                        <pic:spPr>
                          <a:xfrm>
                            <a:off x="0" y="0"/>
                            <a:ext cx="982345" cy="31940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rFonts w:hint="eastAsia"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668020</wp:posOffset>
                  </wp:positionH>
                  <wp:positionV relativeFrom="paragraph">
                    <wp:posOffset>167640</wp:posOffset>
                  </wp:positionV>
                  <wp:extent cx="982345" cy="319405"/>
                  <wp:effectExtent l="0" t="0" r="0" b="10795"/>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9"/>
                          <a:stretch>
                            <a:fillRect/>
                          </a:stretch>
                        </pic:blipFill>
                        <pic:spPr>
                          <a:xfrm>
                            <a:off x="0" y="0"/>
                            <a:ext cx="982345" cy="319405"/>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r>
        <w:drawing>
          <wp:anchor distT="0" distB="0" distL="114300" distR="114300" simplePos="0" relativeHeight="251665408" behindDoc="0" locked="0" layoutInCell="1" allowOverlap="1">
            <wp:simplePos x="0" y="0"/>
            <wp:positionH relativeFrom="column">
              <wp:posOffset>184150</wp:posOffset>
            </wp:positionH>
            <wp:positionV relativeFrom="paragraph">
              <wp:posOffset>31750</wp:posOffset>
            </wp:positionV>
            <wp:extent cx="5882005" cy="8089900"/>
            <wp:effectExtent l="0" t="0" r="10795" b="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tretch>
                      <a:fillRect/>
                    </a:stretch>
                  </pic:blipFill>
                  <pic:spPr>
                    <a:xfrm>
                      <a:off x="0" y="0"/>
                      <a:ext cx="5882005" cy="8089900"/>
                    </a:xfrm>
                    <a:prstGeom prst="rect">
                      <a:avLst/>
                    </a:prstGeom>
                    <a:noFill/>
                    <a:ln>
                      <a:noFill/>
                    </a:ln>
                  </pic:spPr>
                </pic:pic>
              </a:graphicData>
            </a:graphic>
          </wp:anchor>
        </w:drawing>
      </w:r>
      <w:bookmarkStart w:id="34" w:name="_GoBack"/>
      <w:bookmarkEnd w:id="34"/>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1EA3A83"/>
    <w:rsid w:val="2CF72569"/>
    <w:rsid w:val="30781FA0"/>
    <w:rsid w:val="3B98559F"/>
    <w:rsid w:val="3C332C5F"/>
    <w:rsid w:val="47FB2D80"/>
    <w:rsid w:val="4BD02F68"/>
    <w:rsid w:val="550E12C3"/>
    <w:rsid w:val="59046BCF"/>
    <w:rsid w:val="64E46953"/>
    <w:rsid w:val="77B67BA8"/>
    <w:rsid w:val="7F602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22</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2022-04-20T00:04:52Z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