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江西大佑农生物科技有限公司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jc w:val="both"/>
            </w:pPr>
            <w:r>
              <w:rPr>
                <w:rFonts w:hint="eastAsia"/>
              </w:rPr>
              <w:t>受审核方名称</w:t>
            </w:r>
          </w:p>
        </w:tc>
        <w:tc>
          <w:tcPr>
            <w:tcW w:w="8058" w:type="dxa"/>
            <w:gridSpan w:val="5"/>
            <w:vAlign w:val="center"/>
          </w:tcPr>
          <w:p>
            <w:pPr>
              <w:jc w:val="both"/>
            </w:pPr>
            <w:bookmarkStart w:id="5" w:name="组织名称Add1"/>
            <w:r>
              <w:t>江西大佑农生物科技有限公司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jc w:val="both"/>
            </w:pPr>
            <w:r>
              <w:rPr>
                <w:rFonts w:hint="eastAsia"/>
              </w:rPr>
              <w:t>注册地址</w:t>
            </w:r>
          </w:p>
        </w:tc>
        <w:tc>
          <w:tcPr>
            <w:tcW w:w="5045" w:type="dxa"/>
            <w:gridSpan w:val="3"/>
            <w:vAlign w:val="center"/>
          </w:tcPr>
          <w:p>
            <w:pPr>
              <w:jc w:val="both"/>
            </w:pPr>
            <w:bookmarkStart w:id="6" w:name="注册地址"/>
            <w:r>
              <w:t>江西省南昌市南昌经济技术开发区沙港路118号</w:t>
            </w:r>
            <w:bookmarkEnd w:id="6"/>
          </w:p>
        </w:tc>
        <w:tc>
          <w:tcPr>
            <w:tcW w:w="1242" w:type="dxa"/>
            <w:vMerge w:val="restart"/>
            <w:vAlign w:val="center"/>
          </w:tcPr>
          <w:p>
            <w:pPr>
              <w:jc w:val="both"/>
            </w:pPr>
            <w:r>
              <w:rPr>
                <w:rFonts w:hint="eastAsia"/>
              </w:rPr>
              <w:t>邮编</w:t>
            </w:r>
          </w:p>
        </w:tc>
        <w:tc>
          <w:tcPr>
            <w:tcW w:w="1771" w:type="dxa"/>
            <w:vAlign w:val="center"/>
          </w:tcPr>
          <w:p>
            <w:pPr>
              <w:jc w:val="both"/>
            </w:pPr>
            <w:bookmarkStart w:id="7" w:name="注册邮编"/>
            <w:r>
              <w:t>330013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jc w:val="both"/>
            </w:pPr>
            <w:r>
              <w:rPr>
                <w:rFonts w:hint="eastAsia"/>
              </w:rPr>
              <w:t>经营地址</w:t>
            </w:r>
          </w:p>
        </w:tc>
        <w:tc>
          <w:tcPr>
            <w:tcW w:w="5045" w:type="dxa"/>
            <w:gridSpan w:val="3"/>
            <w:vAlign w:val="center"/>
          </w:tcPr>
          <w:p>
            <w:pPr>
              <w:jc w:val="both"/>
            </w:pPr>
            <w:bookmarkStart w:id="8" w:name="生产地址"/>
            <w:r>
              <w:t>江西省南昌市南昌经济技术开发区沙港路118号</w:t>
            </w:r>
            <w:bookmarkEnd w:id="8"/>
          </w:p>
        </w:tc>
        <w:tc>
          <w:tcPr>
            <w:tcW w:w="1242" w:type="dxa"/>
            <w:vMerge w:val="continue"/>
            <w:vAlign w:val="center"/>
          </w:tcPr>
          <w:p>
            <w:pPr>
              <w:jc w:val="both"/>
            </w:pPr>
          </w:p>
        </w:tc>
        <w:tc>
          <w:tcPr>
            <w:tcW w:w="1771" w:type="dxa"/>
            <w:vAlign w:val="center"/>
          </w:tcPr>
          <w:p>
            <w:pPr>
              <w:jc w:val="both"/>
            </w:pPr>
            <w:bookmarkStart w:id="9" w:name="办公邮编"/>
            <w:r>
              <w:t>330013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jc w:val="both"/>
            </w:pPr>
            <w:r>
              <w:rPr>
                <w:rFonts w:hint="eastAsia"/>
              </w:rPr>
              <w:t>联系人</w:t>
            </w:r>
          </w:p>
        </w:tc>
        <w:tc>
          <w:tcPr>
            <w:tcW w:w="1552" w:type="dxa"/>
            <w:vAlign w:val="center"/>
          </w:tcPr>
          <w:p>
            <w:pPr>
              <w:jc w:val="both"/>
            </w:pPr>
            <w:bookmarkStart w:id="10" w:name="联系人"/>
            <w:r>
              <w:t>曹江山</w:t>
            </w:r>
            <w:bookmarkEnd w:id="10"/>
          </w:p>
        </w:tc>
        <w:tc>
          <w:tcPr>
            <w:tcW w:w="1313" w:type="dxa"/>
            <w:vAlign w:val="center"/>
          </w:tcPr>
          <w:p>
            <w:pPr>
              <w:jc w:val="both"/>
            </w:pPr>
            <w:r>
              <w:rPr>
                <w:rFonts w:hint="eastAsia"/>
              </w:rPr>
              <w:t>电话.</w:t>
            </w:r>
          </w:p>
        </w:tc>
        <w:tc>
          <w:tcPr>
            <w:tcW w:w="2180" w:type="dxa"/>
            <w:vAlign w:val="center"/>
          </w:tcPr>
          <w:p>
            <w:pPr>
              <w:jc w:val="both"/>
            </w:pPr>
            <w:bookmarkStart w:id="11" w:name="联系人电话"/>
            <w:r>
              <w:t>0791-87708811</w:t>
            </w:r>
            <w:bookmarkEnd w:id="11"/>
          </w:p>
        </w:tc>
        <w:tc>
          <w:tcPr>
            <w:tcW w:w="1242" w:type="dxa"/>
            <w:vAlign w:val="center"/>
          </w:tcPr>
          <w:p>
            <w:pPr>
              <w:jc w:val="both"/>
            </w:pPr>
            <w:r>
              <w:rPr>
                <w:rFonts w:hint="eastAsia"/>
              </w:rPr>
              <w:t>传真</w:t>
            </w:r>
          </w:p>
        </w:tc>
        <w:tc>
          <w:tcPr>
            <w:tcW w:w="1771" w:type="dxa"/>
            <w:vAlign w:val="center"/>
          </w:tcPr>
          <w:p>
            <w:pPr>
              <w:jc w:val="both"/>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both"/>
            </w:pPr>
            <w:r>
              <w:rPr>
                <w:rFonts w:hint="eastAsia"/>
              </w:rPr>
              <w:t>法人代表</w:t>
            </w:r>
          </w:p>
        </w:tc>
        <w:tc>
          <w:tcPr>
            <w:tcW w:w="1552" w:type="dxa"/>
            <w:vAlign w:val="center"/>
          </w:tcPr>
          <w:p>
            <w:pPr>
              <w:jc w:val="both"/>
            </w:pPr>
            <w:bookmarkStart w:id="13" w:name="法人"/>
            <w:r>
              <w:t>曾玮</w:t>
            </w:r>
            <w:bookmarkEnd w:id="13"/>
          </w:p>
        </w:tc>
        <w:tc>
          <w:tcPr>
            <w:tcW w:w="1313" w:type="dxa"/>
            <w:vAlign w:val="center"/>
          </w:tcPr>
          <w:p>
            <w:pPr>
              <w:jc w:val="both"/>
            </w:pPr>
            <w:r>
              <w:rPr>
                <w:rFonts w:hint="eastAsia"/>
              </w:rPr>
              <w:t>管理者代表</w:t>
            </w:r>
          </w:p>
        </w:tc>
        <w:tc>
          <w:tcPr>
            <w:tcW w:w="2180" w:type="dxa"/>
            <w:vAlign w:val="center"/>
          </w:tcPr>
          <w:p>
            <w:pPr>
              <w:jc w:val="both"/>
            </w:pPr>
            <w:bookmarkStart w:id="14" w:name="管理者代表"/>
            <w:r>
              <w:t>肖晓愈</w:t>
            </w:r>
            <w:bookmarkEnd w:id="14"/>
          </w:p>
        </w:tc>
        <w:tc>
          <w:tcPr>
            <w:tcW w:w="1242" w:type="dxa"/>
            <w:vAlign w:val="center"/>
          </w:tcPr>
          <w:p>
            <w:pPr>
              <w:jc w:val="both"/>
            </w:pPr>
            <w:r>
              <w:rPr>
                <w:rFonts w:hint="eastAsia"/>
              </w:rPr>
              <w:t>邮箱</w:t>
            </w:r>
          </w:p>
        </w:tc>
        <w:tc>
          <w:tcPr>
            <w:tcW w:w="1771"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highlight w:val="cyan"/>
              </w:rPr>
              <w:t>多班次说明</w:t>
            </w:r>
          </w:p>
        </w:tc>
        <w:tc>
          <w:tcPr>
            <w:tcW w:w="8058" w:type="dxa"/>
            <w:gridSpan w:val="5"/>
            <w:shd w:val="clear" w:color="auto" w:fill="auto"/>
            <w:vAlign w:val="center"/>
          </w:tcPr>
          <w:p>
            <w:pPr>
              <w:jc w:val="both"/>
              <w:rPr>
                <w:highlight w:val="cyan"/>
              </w:rPr>
            </w:pPr>
            <w:r>
              <w:rPr>
                <w:rFonts w:hint="eastAsia"/>
              </w:rPr>
              <w:t>受审核组织的班次：</w:t>
            </w:r>
            <w:r>
              <w:rPr>
                <w:rFonts w:hint="eastAsia"/>
              </w:rPr>
              <w:sym w:font="Wingdings 2" w:char="0052"/>
            </w:r>
            <w:r>
              <w:rPr>
                <w:rFonts w:hint="eastAsia"/>
              </w:rPr>
              <w:t>单班□双班□三班□其他</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jc w:val="both"/>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vAlign w:val="center"/>
          </w:tcPr>
          <w:p>
            <w:pPr>
              <w:jc w:val="both"/>
            </w:pPr>
            <w:r>
              <w:rPr>
                <w:rFonts w:hint="eastAsia"/>
              </w:rPr>
              <w:t>生产/服务提供流程简图</w:t>
            </w:r>
          </w:p>
          <w:p>
            <w:pPr>
              <w:jc w:val="both"/>
            </w:pPr>
          </w:p>
        </w:tc>
        <w:tc>
          <w:tcPr>
            <w:tcW w:w="8058" w:type="dxa"/>
            <w:gridSpan w:val="5"/>
            <w:shd w:val="clear" w:color="auto" w:fill="auto"/>
            <w:vAlign w:val="center"/>
          </w:tcPr>
          <w:p>
            <w:pPr>
              <w:jc w:val="both"/>
            </w:pPr>
            <w:r>
              <w:rPr>
                <w:rFonts w:hint="eastAsia"/>
              </w:rPr>
              <w:t>配料称量→投料→一次混合→二次混合→打包→成品验收入库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2022年04月09日 上午至2022年04月10日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江西省南昌市南昌经济技术开发区沙港路118号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维生素预混合饲料（畜禽水产、反刍动物）、复合预混合饲料（畜禽水产、反刍动物）、配合饲料（畜禽、幼畜禽、种畜禽、水产）、浓缩饲料（畜禽、幼畜禽、种畜禽、水产）的生产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03.09.01;03.09.02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both"/>
            </w:pPr>
            <w:r>
              <w:rPr>
                <w:rFonts w:hint="eastAsia"/>
              </w:rPr>
              <w:t>体系文件实施时间</w:t>
            </w:r>
          </w:p>
        </w:tc>
        <w:tc>
          <w:tcPr>
            <w:tcW w:w="2733" w:type="dxa"/>
            <w:vAlign w:val="center"/>
          </w:tcPr>
          <w:p>
            <w:pPr>
              <w:jc w:val="both"/>
            </w:pP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tc>
        <w:tc>
          <w:tcPr>
            <w:tcW w:w="1883" w:type="dxa"/>
            <w:vAlign w:val="center"/>
          </w:tcPr>
          <w:p>
            <w:pPr>
              <w:jc w:val="both"/>
            </w:pPr>
            <w:r>
              <w:rPr>
                <w:rFonts w:hint="eastAsia"/>
              </w:rPr>
              <w:t>管理体系运行已超过3个月</w:t>
            </w:r>
          </w:p>
        </w:tc>
        <w:tc>
          <w:tcPr>
            <w:tcW w:w="3215" w:type="dxa"/>
            <w:vAlign w:val="center"/>
          </w:tcPr>
          <w:p>
            <w:pPr>
              <w:jc w:val="both"/>
            </w:pPr>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jc w:val="both"/>
            </w:pPr>
            <w:r>
              <w:rPr>
                <w:rFonts w:hint="eastAsia"/>
              </w:rPr>
              <w:t>上次审核时间</w:t>
            </w:r>
          </w:p>
        </w:tc>
        <w:tc>
          <w:tcPr>
            <w:tcW w:w="2733" w:type="dxa"/>
            <w:vAlign w:val="center"/>
          </w:tcPr>
          <w:p>
            <w:pPr>
              <w:jc w:val="both"/>
            </w:pPr>
            <w:r>
              <w:rPr>
                <w:rFonts w:hint="eastAsia"/>
              </w:rPr>
              <w:t>2021年07月13日</w:t>
            </w:r>
          </w:p>
        </w:tc>
        <w:tc>
          <w:tcPr>
            <w:tcW w:w="1883" w:type="dxa"/>
            <w:vAlign w:val="center"/>
          </w:tcPr>
          <w:p>
            <w:pPr>
              <w:jc w:val="both"/>
            </w:pPr>
            <w:r>
              <w:rPr>
                <w:rFonts w:hint="eastAsia"/>
              </w:rPr>
              <w:t>认证证书有效期</w:t>
            </w:r>
          </w:p>
          <w:p>
            <w:pPr>
              <w:jc w:val="both"/>
            </w:pPr>
            <w:r>
              <w:rPr>
                <w:rFonts w:hint="eastAsia"/>
              </w:rPr>
              <w:t>（初审除外）</w:t>
            </w:r>
          </w:p>
        </w:tc>
        <w:tc>
          <w:tcPr>
            <w:tcW w:w="3215" w:type="dxa"/>
            <w:vAlign w:val="center"/>
          </w:tcPr>
          <w:p>
            <w:pPr>
              <w:jc w:val="both"/>
              <w:rPr>
                <w:rFonts w:hint="eastAsia" w:eastAsia="宋体"/>
                <w:lang w:eastAsia="zh-CN"/>
              </w:rPr>
            </w:pPr>
            <w:r>
              <w:rPr>
                <w:rFonts w:hint="eastAsia"/>
              </w:rPr>
              <w:t>有效至2022</w:t>
            </w:r>
            <w:r>
              <w:rPr>
                <w:rFonts w:hint="eastAsia"/>
                <w:lang w:eastAsia="zh-CN"/>
              </w:rPr>
              <w:t>年</w:t>
            </w:r>
            <w:r>
              <w:rPr>
                <w:rFonts w:hint="eastAsia"/>
              </w:rPr>
              <w:t>5</w:t>
            </w:r>
            <w:r>
              <w:rPr>
                <w:rFonts w:hint="eastAsia"/>
                <w:lang w:eastAsia="zh-CN"/>
              </w:rPr>
              <w:t>月</w:t>
            </w:r>
            <w:r>
              <w:rPr>
                <w:rFonts w:hint="eastAsia"/>
              </w:rPr>
              <w:t>28</w:t>
            </w:r>
            <w:r>
              <w:rPr>
                <w:rFonts w:hint="eastAsia"/>
                <w:lang w:eastAsia="zh-C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江西大佑农生物科技有限公司</w:t>
            </w:r>
          </w:p>
          <w:p>
            <w:pPr>
              <w:pStyle w:val="2"/>
              <w:rPr>
                <w:lang w:val="de-DE" w:eastAsia="ja-JP"/>
              </w:rPr>
            </w:pPr>
            <w:r>
              <w:rPr>
                <w:rFonts w:hint="eastAsia"/>
                <w:lang w:val="de-DE" w:eastAsia="ja-JP"/>
              </w:rPr>
              <w:t>江西省南昌市南昌经济技术开发区沙港路118号</w:t>
            </w:r>
          </w:p>
        </w:tc>
        <w:tc>
          <w:tcPr>
            <w:tcW w:w="2267" w:type="dxa"/>
          </w:tcPr>
          <w:p>
            <w:pPr>
              <w:rPr>
                <w:lang w:val="de-DE" w:eastAsia="ja-JP"/>
              </w:rPr>
            </w:pPr>
            <w:r>
              <w:rPr>
                <w:rFonts w:hint="eastAsia"/>
                <w:lang w:val="de-DE" w:eastAsia="ja-JP"/>
              </w:rPr>
              <w:t>江西省南昌市南昌经济技术开发区沙港路118号</w:t>
            </w:r>
          </w:p>
        </w:tc>
        <w:tc>
          <w:tcPr>
            <w:tcW w:w="571" w:type="dxa"/>
            <w:vAlign w:val="center"/>
          </w:tcPr>
          <w:p>
            <w:pPr>
              <w:rPr>
                <w:rFonts w:hint="default" w:eastAsia="宋体"/>
                <w:lang w:val="en-US" w:eastAsia="zh-CN"/>
              </w:rPr>
            </w:pPr>
            <w:r>
              <w:rPr>
                <w:rFonts w:hint="eastAsia"/>
                <w:lang w:val="en-US" w:eastAsia="zh-CN"/>
              </w:rPr>
              <w:t>59</w:t>
            </w:r>
          </w:p>
        </w:tc>
        <w:tc>
          <w:tcPr>
            <w:tcW w:w="2803" w:type="dxa"/>
            <w:vAlign w:val="center"/>
          </w:tcPr>
          <w:p>
            <w:pPr>
              <w:rPr>
                <w:lang w:eastAsia="ja-JP"/>
              </w:rPr>
            </w:pPr>
            <w:r>
              <w:rPr>
                <w:rFonts w:hint="eastAsia"/>
                <w:lang w:eastAsia="ja-JP"/>
              </w:rPr>
              <w:t>维生素预混合饲料（畜禽水产、反刍动物）、复合预混合饲料（畜禽水产、反刍动物）、配合饲料（畜禽、幼畜禽、种畜禽、水产）、浓缩饲料（畜禽、幼畜禽、种畜禽、水产）的生产</w:t>
            </w:r>
          </w:p>
        </w:tc>
        <w:tc>
          <w:tcPr>
            <w:tcW w:w="669" w:type="dxa"/>
            <w:vAlign w:val="center"/>
          </w:tcPr>
          <w:p>
            <w:pPr>
              <w:rPr>
                <w:rFonts w:hint="eastAsia" w:eastAsia="宋体"/>
                <w:lang w:val="en-US" w:eastAsia="zh-CN"/>
              </w:rPr>
            </w:pPr>
            <w:r>
              <w:rPr>
                <w:rFonts w:hint="eastAsia"/>
                <w:lang w:val="en-US" w:eastAsia="zh-CN"/>
              </w:rPr>
              <w:t>Q</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李双</w:t>
            </w:r>
          </w:p>
        </w:tc>
        <w:tc>
          <w:tcPr>
            <w:tcW w:w="1089" w:type="dxa"/>
            <w:vAlign w:val="center"/>
          </w:tcPr>
          <w:p>
            <w:r>
              <w:t>组员</w:t>
            </w:r>
          </w:p>
        </w:tc>
        <w:tc>
          <w:tcPr>
            <w:tcW w:w="711" w:type="dxa"/>
            <w:vAlign w:val="center"/>
          </w:tcPr>
          <w:p>
            <w:r>
              <w:t>女</w:t>
            </w:r>
          </w:p>
        </w:tc>
        <w:tc>
          <w:tcPr>
            <w:tcW w:w="3870" w:type="dxa"/>
            <w:vAlign w:val="center"/>
          </w:tcPr>
          <w:p>
            <w:r>
              <w:t>2021-N0QMS-1287699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邓贤才</w:t>
            </w:r>
          </w:p>
        </w:tc>
        <w:tc>
          <w:tcPr>
            <w:tcW w:w="1089" w:type="dxa"/>
            <w:vAlign w:val="center"/>
          </w:tcPr>
          <w:p>
            <w:r>
              <w:t>组员</w:t>
            </w:r>
          </w:p>
        </w:tc>
        <w:tc>
          <w:tcPr>
            <w:tcW w:w="711" w:type="dxa"/>
            <w:vAlign w:val="center"/>
          </w:tcPr>
          <w:p>
            <w:r>
              <w:t>男</w:t>
            </w:r>
          </w:p>
        </w:tc>
        <w:tc>
          <w:tcPr>
            <w:tcW w:w="3870" w:type="dxa"/>
            <w:vAlign w:val="center"/>
          </w:tcPr>
          <w:p>
            <w:r>
              <w:t>ISC-JSZJ-511</w:t>
            </w:r>
          </w:p>
          <w:p>
            <w:r>
              <w:t>江西省伟梦饲料有限公司</w:t>
            </w:r>
          </w:p>
        </w:tc>
        <w:tc>
          <w:tcPr>
            <w:tcW w:w="2179" w:type="dxa"/>
            <w:vAlign w:val="center"/>
          </w:tcPr>
          <w:p>
            <w:r>
              <w:t>03.09.01,03.09.02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37"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37"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8.3条款删减</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cs="Times New Roman"/>
                <w:szCs w:val="22"/>
                <w:lang w:val="en-US" w:eastAsia="zh-CN"/>
              </w:rPr>
              <w:t>上次审核未开具不符合报告。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
      </w:pPr>
    </w:p>
    <w:p>
      <w:pPr>
        <w:pStyle w:val="2"/>
      </w:pPr>
    </w:p>
    <w:p>
      <w:r>
        <w:drawing>
          <wp:anchor distT="0" distB="0" distL="114300" distR="114300" simplePos="0" relativeHeight="251662336" behindDoc="0" locked="0" layoutInCell="1" allowOverlap="1">
            <wp:simplePos x="0" y="0"/>
            <wp:positionH relativeFrom="column">
              <wp:posOffset>-675640</wp:posOffset>
            </wp:positionH>
            <wp:positionV relativeFrom="paragraph">
              <wp:posOffset>-911225</wp:posOffset>
            </wp:positionV>
            <wp:extent cx="7596505" cy="10642600"/>
            <wp:effectExtent l="0" t="0" r="4445"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596505" cy="10642600"/>
                    </a:xfrm>
                    <a:prstGeom prst="rect">
                      <a:avLst/>
                    </a:prstGeom>
                    <a:noFill/>
                    <a:ln>
                      <a:noFill/>
                    </a:ln>
                  </pic:spPr>
                </pic:pic>
              </a:graphicData>
            </a:graphic>
          </wp:anchor>
        </w:drawing>
      </w:r>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873"/>
        <w:gridCol w:w="2764"/>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tcPr>
          <w:p>
            <w:r>
              <w:rPr>
                <w:rFonts w:hint="eastAsia"/>
              </w:rPr>
              <w:t>审核组长签字</w:t>
            </w:r>
          </w:p>
        </w:tc>
        <w:tc>
          <w:tcPr>
            <w:tcW w:w="2873"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228600</wp:posOffset>
                  </wp:positionH>
                  <wp:positionV relativeFrom="paragraph">
                    <wp:posOffset>27940</wp:posOffset>
                  </wp:positionV>
                  <wp:extent cx="963295" cy="580390"/>
                  <wp:effectExtent l="0" t="0" r="8255" b="1016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963295" cy="58039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08"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2022.4.11</w:t>
            </w:r>
          </w:p>
        </w:tc>
      </w:tr>
    </w:tbl>
    <w:p/>
    <w:p>
      <w:bookmarkStart w:id="34" w:name="_GoBack"/>
      <w:bookmarkEnd w:id="34"/>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w:t>
            </w:r>
            <w:r>
              <w:rPr>
                <w:rFonts w:hint="eastAsia"/>
              </w:rPr>
              <w:sym w:font="Wingdings 2" w:char="00A3"/>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以人为本，科学管理，品质一流，用户满意</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产业政策的变化可能给公司带来发展的风险</w:t>
                  </w:r>
                </w:p>
              </w:tc>
              <w:tc>
                <w:tcPr>
                  <w:tcW w:w="3965" w:type="dxa"/>
                </w:tcPr>
                <w:p>
                  <w:pPr>
                    <w:shd w:val="clear" w:color="auto" w:fill="C7DAF1" w:themeFill="text2" w:themeFillTint="32"/>
                    <w:rPr>
                      <w:rFonts w:hint="eastAsia" w:eastAsia="宋体"/>
                      <w:lang w:eastAsia="zh-CN"/>
                    </w:rPr>
                  </w:pPr>
                  <w:r>
                    <w:rPr>
                      <w:rFonts w:hint="eastAsia"/>
                      <w:lang w:eastAsia="zh-CN"/>
                    </w:rPr>
                    <w:t>建立质量管理体系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产品出厂合格率100%</w:t>
                  </w:r>
                </w:p>
              </w:tc>
              <w:tc>
                <w:tcPr>
                  <w:tcW w:w="3136" w:type="dxa"/>
                  <w:shd w:val="clear" w:color="auto" w:fill="auto"/>
                  <w:vAlign w:val="center"/>
                </w:tcPr>
                <w:p>
                  <w:pPr>
                    <w:shd w:val="clear" w:color="auto" w:fill="C7DAF1" w:themeFill="text2" w:themeFillTint="32"/>
                    <w:rPr>
                      <w:lang w:val="en-GB"/>
                    </w:rPr>
                  </w:pPr>
                  <w:r>
                    <w:rPr>
                      <w:rFonts w:hint="eastAsia"/>
                      <w:lang w:val="en-GB"/>
                    </w:rPr>
                    <w:t>产品出厂合格率=（一批产品中的合格产品数量÷这批产品总量）×100%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rPr>
                    <w:t>顾客满意度9</w:t>
                  </w:r>
                  <w:r>
                    <w:rPr>
                      <w:rFonts w:hint="eastAsia" w:ascii="Times New Roman" w:hAnsi="Times New Roman" w:eastAsia="宋体" w:cs="Times New Roman"/>
                      <w:lang w:val="en-US" w:eastAsia="zh-CN"/>
                    </w:rPr>
                    <w:t>0分以上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顾客满意度=调查单位中满意总分数÷调查单位数</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提升机、圆筒初清筛、高料位器、锤片粉碎机、负载自动控制系统等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（电子台秤</w:t>
            </w:r>
            <w:r>
              <w:rPr>
                <w:rFonts w:hint="eastAsia"/>
                <w:u w:val="single"/>
                <w:lang w:eastAsia="zh-CN"/>
              </w:rPr>
              <w:t>、分析天平、紫外可见分光光度计、称重传感器</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1119"/>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7" w:type="dxa"/>
                </w:tcPr>
                <w:p>
                  <w:pPr>
                    <w:shd w:val="clear" w:color="auto" w:fill="C7DAF1" w:themeFill="text2" w:themeFillTint="32"/>
                    <w:jc w:val="left"/>
                  </w:pPr>
                  <w:r>
                    <w:rPr>
                      <w:rFonts w:hint="eastAsia"/>
                    </w:rPr>
                    <w:t>产品/服务名称</w:t>
                  </w:r>
                </w:p>
              </w:tc>
              <w:tc>
                <w:tcPr>
                  <w:tcW w:w="1119" w:type="dxa"/>
                </w:tcPr>
                <w:p>
                  <w:pPr>
                    <w:shd w:val="clear" w:color="auto" w:fill="C7DAF1" w:themeFill="text2" w:themeFillTint="32"/>
                    <w:jc w:val="left"/>
                  </w:pPr>
                  <w:r>
                    <w:rPr>
                      <w:rFonts w:hint="eastAsia"/>
                    </w:rPr>
                    <w:t>关键过程</w:t>
                  </w:r>
                </w:p>
              </w:tc>
              <w:tc>
                <w:tcPr>
                  <w:tcW w:w="2706"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7" w:type="dxa"/>
                </w:tcPr>
                <w:p>
                  <w:pPr>
                    <w:shd w:val="clear" w:color="auto" w:fill="C7DAF1" w:themeFill="text2" w:themeFillTint="32"/>
                    <w:jc w:val="left"/>
                  </w:pPr>
                  <w:r>
                    <w:rPr>
                      <w:rFonts w:hint="eastAsia"/>
                    </w:rPr>
                    <w:t>维生素预混合饲料（畜禽水产、反刍动物）、复合预混合饲料（畜禽水产、反刍动物）、配合饲料（畜禽、幼畜禽、种畜禽、水产）、浓缩饲料（畜禽、幼畜禽、种畜禽、水产）的生产</w:t>
                  </w:r>
                </w:p>
              </w:tc>
              <w:tc>
                <w:tcPr>
                  <w:tcW w:w="1119" w:type="dxa"/>
                </w:tcPr>
                <w:p>
                  <w:pPr>
                    <w:shd w:val="clear" w:color="auto" w:fill="C7DAF1" w:themeFill="text2" w:themeFillTint="32"/>
                    <w:jc w:val="left"/>
                    <w:rPr>
                      <w:rFonts w:hint="eastAsia" w:eastAsia="宋体"/>
                      <w:lang w:eastAsia="zh-CN"/>
                    </w:rPr>
                  </w:pPr>
                  <w:r>
                    <w:rPr>
                      <w:rFonts w:hint="eastAsia"/>
                    </w:rPr>
                    <w:t>混合</w:t>
                  </w:r>
                  <w:r>
                    <w:rPr>
                      <w:rFonts w:hint="eastAsia"/>
                      <w:lang w:eastAsia="zh-CN"/>
                    </w:rPr>
                    <w:t>过程</w:t>
                  </w:r>
                </w:p>
              </w:tc>
              <w:tc>
                <w:tcPr>
                  <w:tcW w:w="2706"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Cs w:val="22"/>
                      <w:lang w:val="en-US" w:eastAsia="zh-CN"/>
                    </w:rPr>
                    <w:t>混合均匀度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7" w:type="dxa"/>
                </w:tcPr>
                <w:p>
                  <w:pPr>
                    <w:shd w:val="clear" w:color="auto" w:fill="C7DAF1" w:themeFill="text2" w:themeFillTint="32"/>
                    <w:jc w:val="left"/>
                  </w:pPr>
                </w:p>
              </w:tc>
              <w:tc>
                <w:tcPr>
                  <w:tcW w:w="1119" w:type="dxa"/>
                </w:tcPr>
                <w:p>
                  <w:pPr>
                    <w:shd w:val="clear" w:color="auto" w:fill="C7DAF1" w:themeFill="text2" w:themeFillTint="32"/>
                    <w:jc w:val="left"/>
                  </w:pPr>
                </w:p>
              </w:tc>
              <w:tc>
                <w:tcPr>
                  <w:tcW w:w="2706"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7" w:type="dxa"/>
                </w:tcPr>
                <w:p>
                  <w:pPr>
                    <w:shd w:val="clear" w:color="auto" w:fill="C7DAF1" w:themeFill="text2" w:themeFillTint="32"/>
                    <w:jc w:val="left"/>
                  </w:pPr>
                </w:p>
              </w:tc>
              <w:tc>
                <w:tcPr>
                  <w:tcW w:w="1119" w:type="dxa"/>
                </w:tcPr>
                <w:p>
                  <w:pPr>
                    <w:shd w:val="clear" w:color="auto" w:fill="C7DAF1" w:themeFill="text2" w:themeFillTint="32"/>
                    <w:jc w:val="left"/>
                  </w:pPr>
                </w:p>
              </w:tc>
              <w:tc>
                <w:tcPr>
                  <w:tcW w:w="2706"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需要确认的过程：混合</w:t>
            </w:r>
            <w:r>
              <w:rPr>
                <w:rFonts w:hint="eastAsia"/>
                <w:lang w:eastAsia="zh-CN"/>
              </w:rPr>
              <w:t>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检验报告</w:t>
            </w:r>
            <w:r>
              <w:rPr>
                <w:rFonts w:hint="eastAsia"/>
                <w:lang w:val="en-US" w:eastAsia="zh-CN"/>
              </w:rPr>
              <w:t>-江西省分析测试中心</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通过年度策划于2022年03月1-2日实施了质量管理体系内部审核，对质量管理体系的符合性和有效性进行了审核。内审发现的项不符合在本次审核前已完成整改。在公司内完成的这些审核是可信的。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最高管理者已按策划的时间间隔，在2022年03月11日对组织的质量管理体系进行了评审，以确保其持续的适宜性、充分性和有效性；管理评审输入、输出均按要求提供。并对提出的改进措施进行了落实。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EBF1DE" w:themeFill="accent3"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E48592A"/>
    <w:rsid w:val="37441C0C"/>
    <w:rsid w:val="382744BF"/>
    <w:rsid w:val="3BA851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8223</Words>
  <Characters>8802</Characters>
  <Lines>150</Lines>
  <Paragraphs>42</Paragraphs>
  <TotalTime>8</TotalTime>
  <ScaleCrop>false</ScaleCrop>
  <LinksUpToDate>false</LinksUpToDate>
  <CharactersWithSpaces>8877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2022-04-12T12:58:25Z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