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0312-2022-QEO</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重庆佳雨龙润实业有限公司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9"/>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2022年04月09日 上午至2022年04月09日 上午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Add1"/>
            <w:bookmarkStart w:id="11" w:name="QJ勾选"/>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vAlign w:val="top"/>
          </w:tcPr>
          <w:p>
            <w:pPr>
              <w:rPr>
                <w:rFonts w:ascii="宋体" w:hAnsi="宋体"/>
                <w:b/>
                <w:color w:val="000000"/>
                <w:szCs w:val="21"/>
                <w:lang w:val="de-DE"/>
              </w:rPr>
            </w:pPr>
            <w:r>
              <w:rPr>
                <w:rFonts w:hint="eastAsia" w:ascii="宋体" w:hAnsi="宋体"/>
                <w:b/>
                <w:color w:val="000000"/>
                <w:szCs w:val="21"/>
                <w:lang w:val="de-DE"/>
              </w:rPr>
              <w:t>■GB/T19001-2016□GB/T 50430-2017■GB/T24001-2016</w:t>
            </w:r>
          </w:p>
          <w:p>
            <w:pPr>
              <w:rPr>
                <w:rFonts w:ascii="宋体" w:hAnsi="宋体"/>
                <w:b/>
                <w:color w:val="000000"/>
                <w:szCs w:val="21"/>
                <w:lang w:val="de-DE"/>
              </w:rPr>
            </w:pPr>
            <w:r>
              <w:rPr>
                <w:rFonts w:hint="eastAsia" w:ascii="宋体" w:hAnsi="宋体"/>
                <w:b/>
                <w:color w:val="000000"/>
                <w:szCs w:val="21"/>
                <w:lang w:val="de-DE"/>
              </w:rPr>
              <w:t>□GB/T28001-2011■ISO45001：2018</w:t>
            </w:r>
          </w:p>
          <w:p>
            <w:pPr>
              <w:rPr>
                <w:rFonts w:ascii="宋体" w:hAnsi="宋体"/>
                <w:b/>
                <w:color w:val="000000"/>
                <w:szCs w:val="21"/>
                <w:lang w:val="de-DE"/>
              </w:rPr>
            </w:pPr>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 xml:space="preserve">FSMS：□ GB/T22000-2006□ISO 22000-2018 </w:t>
            </w:r>
          </w:p>
          <w:p>
            <w:pPr>
              <w:rPr>
                <w:rFonts w:ascii="宋体" w:hAnsi="宋体"/>
                <w:b/>
                <w:color w:val="000000"/>
                <w:szCs w:val="21"/>
                <w:lang w:val="de-DE"/>
              </w:rPr>
            </w:pPr>
            <w:r>
              <w:rPr>
                <w:rFonts w:hint="eastAsia" w:ascii="宋体" w:hAnsi="宋体"/>
                <w:b/>
                <w:color w:val="000000"/>
                <w:szCs w:val="21"/>
                <w:lang w:val="de-DE"/>
              </w:rPr>
              <w:t>HACCP：□ GB/T27341-2009□ GB 14881-2013 □《危害分析与关键控制点（HACCP体系）认证补充要求 1.0》</w:t>
            </w:r>
          </w:p>
          <w:p>
            <w:pPr>
              <w:rPr>
                <w:rFonts w:ascii="宋体" w:hAnsi="宋体"/>
                <w:b/>
                <w:color w:val="000000"/>
                <w:szCs w:val="21"/>
              </w:rPr>
            </w:pPr>
            <w:r>
              <w:rPr>
                <w:rFonts w:hint="eastAsia" w:ascii="宋体" w:hAnsi="宋体" w:eastAsia="宋体" w:cs="宋体"/>
                <w:b/>
                <w:color w:val="000000"/>
                <w:szCs w:val="21"/>
                <w:lang w:val="de-DE"/>
              </w:rPr>
              <w:t>■</w:t>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eastAsia="宋体" w:cs="宋体"/>
                <w:b/>
                <w:color w:val="000000"/>
                <w:szCs w:val="21"/>
                <w:lang w:val="de-DE"/>
              </w:rPr>
              <w:t>■</w:t>
            </w:r>
            <w:r>
              <w:rPr>
                <w:rFonts w:hint="eastAsia" w:ascii="宋体" w:hAnsi="宋体"/>
                <w:b/>
                <w:color w:val="000000"/>
                <w:szCs w:val="21"/>
              </w:rPr>
              <w:t>顾客要求</w:t>
            </w:r>
          </w:p>
          <w:p>
            <w:pPr>
              <w:rPr>
                <w:rFonts w:ascii="Times New Roman" w:hAnsi="Times New Roman" w:eastAsia="宋体" w:cs="Times New Roman"/>
                <w:kern w:val="2"/>
                <w:sz w:val="21"/>
                <w:szCs w:val="21"/>
                <w:lang w:val="en-US" w:eastAsia="zh-CN" w:bidi="ar-SA"/>
              </w:rPr>
            </w:pPr>
            <w:r>
              <w:rPr>
                <w:rFonts w:hint="eastAsia" w:ascii="宋体" w:hAnsi="宋体" w:eastAsia="宋体" w:cs="宋体"/>
                <w:b/>
                <w:color w:val="000000"/>
                <w:szCs w:val="21"/>
                <w:lang w:val="de-DE"/>
              </w:rPr>
              <w:t>■</w:t>
            </w:r>
            <w:r>
              <w:rPr>
                <w:rFonts w:hint="eastAsia" w:ascii="宋体" w:hAnsi="宋体"/>
                <w:b/>
                <w:color w:val="000000"/>
                <w:szCs w:val="21"/>
                <w:lang w:val="de-DE"/>
              </w:rPr>
              <w:t>适用于受审核方的法律法规及其他要求</w:t>
            </w:r>
            <w:r>
              <w:rPr>
                <w:rFonts w:hint="eastAsia" w:ascii="宋体" w:hAnsi="宋体" w:eastAsia="宋体" w:cs="宋体"/>
                <w:b/>
                <w:color w:val="000000"/>
                <w:szCs w:val="21"/>
                <w:lang w:val="de-DE"/>
              </w:rPr>
              <w:t>■</w:t>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hAnsi="Times New Roman" w:eastAsia="宋体" w:cs="Times New Roman"/>
                <w:b/>
                <w:kern w:val="2"/>
                <w:sz w:val="21"/>
                <w:szCs w:val="21"/>
                <w:lang w:val="en-US" w:eastAsia="zh-CN" w:bidi="ar-SA"/>
              </w:rPr>
            </w:pPr>
            <w:r>
              <w:rPr>
                <w:rFonts w:hint="eastAsia" w:ascii="宋体"/>
                <w:b/>
                <w:szCs w:val="21"/>
              </w:rPr>
              <w:t>□单一体系审核□结合审核</w:t>
            </w:r>
            <w:r>
              <w:rPr>
                <w:rFonts w:hint="eastAsia" w:ascii="宋体" w:hAnsi="宋体" w:eastAsia="宋体" w:cs="宋体"/>
                <w:b/>
                <w:szCs w:val="21"/>
              </w:rPr>
              <w:t>■</w:t>
            </w:r>
            <w:r>
              <w:rPr>
                <w:rFonts w:hint="eastAsia" w:ascii="宋体"/>
                <w:b/>
                <w:szCs w:val="21"/>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hAnsi="Times New Roman" w:eastAsia="宋体" w:cs="Times New Roman"/>
                <w:b/>
                <w:color w:val="000000"/>
                <w:kern w:val="2"/>
                <w:sz w:val="21"/>
                <w:szCs w:val="21"/>
                <w:lang w:val="en-US" w:eastAsia="zh-CN" w:bidi="ar-SA"/>
              </w:rPr>
            </w:pPr>
            <w:r>
              <w:rPr>
                <w:rFonts w:hint="eastAsia" w:ascii="宋体" w:hAnsi="宋体" w:eastAsia="宋体" w:cs="宋体"/>
                <w:b/>
                <w:color w:val="000000"/>
                <w:szCs w:val="21"/>
              </w:rPr>
              <w:t>■</w:t>
            </w: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r>
              <w:rPr>
                <w:rFonts w:asciiTheme="minorEastAsia" w:hAnsiTheme="minorEastAsia" w:eastAsiaTheme="minorEastAsia"/>
                <w:sz w:val="20"/>
              </w:rPr>
              <w:t>重庆市南岸经开区长生桥镇茶园新区通江大道215号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9"/>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040"/>
        <w:gridCol w:w="197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040" w:type="dxa"/>
            <w:vAlign w:val="center"/>
          </w:tcPr>
          <w:p>
            <w:pPr>
              <w:spacing w:line="240" w:lineRule="exact"/>
              <w:jc w:val="center"/>
              <w:rPr>
                <w:b/>
                <w:color w:val="000000"/>
                <w:szCs w:val="21"/>
              </w:rPr>
            </w:pPr>
            <w:r>
              <w:rPr>
                <w:rFonts w:hint="eastAsia"/>
                <w:szCs w:val="21"/>
              </w:rPr>
              <w:t>审核员注册证书号</w:t>
            </w:r>
          </w:p>
        </w:tc>
        <w:tc>
          <w:tcPr>
            <w:tcW w:w="197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冉景洲</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女</w:t>
            </w:r>
          </w:p>
        </w:tc>
        <w:tc>
          <w:tcPr>
            <w:tcW w:w="3040" w:type="dxa"/>
            <w:vAlign w:val="center"/>
          </w:tcPr>
          <w:p>
            <w:pPr>
              <w:spacing w:line="240" w:lineRule="exact"/>
              <w:jc w:val="center"/>
              <w:rPr>
                <w:b/>
                <w:color w:val="000000"/>
                <w:szCs w:val="21"/>
              </w:rPr>
            </w:pPr>
            <w:r>
              <w:rPr>
                <w:b/>
                <w:color w:val="000000"/>
                <w:szCs w:val="21"/>
              </w:rPr>
              <w:t>2020-N1QMS-1267598</w:t>
            </w:r>
          </w:p>
          <w:p>
            <w:pPr>
              <w:spacing w:line="240" w:lineRule="exact"/>
              <w:jc w:val="center"/>
              <w:rPr>
                <w:b/>
                <w:color w:val="000000"/>
                <w:szCs w:val="21"/>
              </w:rPr>
            </w:pPr>
            <w:r>
              <w:rPr>
                <w:b/>
                <w:color w:val="000000"/>
                <w:szCs w:val="21"/>
              </w:rPr>
              <w:t>2020-N1EMS-1267598</w:t>
            </w:r>
          </w:p>
          <w:p>
            <w:pPr>
              <w:spacing w:line="240" w:lineRule="exact"/>
              <w:jc w:val="center"/>
              <w:rPr>
                <w:b/>
                <w:color w:val="000000"/>
                <w:szCs w:val="21"/>
              </w:rPr>
            </w:pPr>
            <w:r>
              <w:rPr>
                <w:b/>
                <w:color w:val="000000"/>
                <w:szCs w:val="21"/>
              </w:rPr>
              <w:t>2021-N1OHSMS-1267598</w:t>
            </w:r>
          </w:p>
        </w:tc>
        <w:tc>
          <w:tcPr>
            <w:tcW w:w="1970" w:type="dxa"/>
            <w:vAlign w:val="center"/>
          </w:tcPr>
          <w:p>
            <w:pPr>
              <w:spacing w:line="240" w:lineRule="exact"/>
              <w:jc w:val="center"/>
              <w:rPr>
                <w:b/>
                <w:color w:val="000000"/>
                <w:szCs w:val="21"/>
              </w:rPr>
            </w:pPr>
            <w:r>
              <w:rPr>
                <w:b/>
                <w:color w:val="000000"/>
                <w:szCs w:val="21"/>
              </w:rPr>
              <w:t>Q:29.12.00</w:t>
            </w:r>
          </w:p>
          <w:p>
            <w:pPr>
              <w:spacing w:line="240" w:lineRule="exact"/>
              <w:jc w:val="center"/>
              <w:rPr>
                <w:b/>
                <w:color w:val="000000"/>
                <w:szCs w:val="21"/>
              </w:rPr>
            </w:pPr>
            <w:r>
              <w:rPr>
                <w:b/>
                <w:color w:val="000000"/>
                <w:szCs w:val="21"/>
              </w:rPr>
              <w:t>E:29.12.00</w:t>
            </w:r>
          </w:p>
          <w:p>
            <w:pPr>
              <w:spacing w:line="240" w:lineRule="exact"/>
              <w:jc w:val="center"/>
              <w:rPr>
                <w:b/>
                <w:color w:val="000000"/>
                <w:szCs w:val="21"/>
              </w:rPr>
            </w:pPr>
            <w:r>
              <w:rPr>
                <w:b/>
                <w:color w:val="000000"/>
                <w:szCs w:val="21"/>
              </w:rPr>
              <w:t>O:29.12.00</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余家龙</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3040" w:type="dxa"/>
            <w:vAlign w:val="center"/>
          </w:tcPr>
          <w:p>
            <w:pPr>
              <w:spacing w:line="240" w:lineRule="exact"/>
              <w:jc w:val="center"/>
              <w:rPr>
                <w:b/>
                <w:color w:val="000000"/>
                <w:szCs w:val="21"/>
              </w:rPr>
            </w:pPr>
            <w:r>
              <w:rPr>
                <w:b/>
                <w:color w:val="000000"/>
                <w:szCs w:val="21"/>
              </w:rPr>
              <w:t>2020-N1QMS-1262293</w:t>
            </w:r>
          </w:p>
          <w:p>
            <w:pPr>
              <w:spacing w:line="240" w:lineRule="exact"/>
              <w:jc w:val="center"/>
              <w:rPr>
                <w:b/>
                <w:color w:val="000000"/>
                <w:szCs w:val="21"/>
              </w:rPr>
            </w:pPr>
            <w:r>
              <w:rPr>
                <w:b/>
                <w:color w:val="000000"/>
                <w:szCs w:val="21"/>
              </w:rPr>
              <w:t>2020-N1EMS-1262293</w:t>
            </w:r>
          </w:p>
          <w:p>
            <w:pPr>
              <w:spacing w:line="240" w:lineRule="exact"/>
              <w:jc w:val="center"/>
              <w:rPr>
                <w:b/>
                <w:color w:val="000000"/>
                <w:szCs w:val="21"/>
              </w:rPr>
            </w:pPr>
            <w:r>
              <w:rPr>
                <w:b/>
                <w:color w:val="000000"/>
                <w:szCs w:val="21"/>
              </w:rPr>
              <w:t>2021-N1OHSMS-1262293</w:t>
            </w:r>
          </w:p>
        </w:tc>
        <w:tc>
          <w:tcPr>
            <w:tcW w:w="1970" w:type="dxa"/>
            <w:vAlign w:val="center"/>
          </w:tcPr>
          <w:p>
            <w:pPr>
              <w:spacing w:line="240" w:lineRule="exact"/>
              <w:jc w:val="center"/>
              <w:rPr>
                <w:b/>
                <w:color w:val="000000"/>
                <w:szCs w:val="21"/>
              </w:rPr>
            </w:pPr>
            <w:r>
              <w:rPr>
                <w:b/>
                <w:color w:val="000000"/>
                <w:szCs w:val="21"/>
              </w:rPr>
              <w:t>Q:29.12.00</w:t>
            </w:r>
          </w:p>
          <w:p>
            <w:pPr>
              <w:spacing w:line="240" w:lineRule="exact"/>
              <w:jc w:val="center"/>
              <w:rPr>
                <w:b/>
                <w:color w:val="000000"/>
                <w:szCs w:val="21"/>
              </w:rPr>
            </w:pPr>
            <w:r>
              <w:rPr>
                <w:b/>
                <w:color w:val="000000"/>
                <w:szCs w:val="21"/>
              </w:rPr>
              <w:t>E:29.12.00</w:t>
            </w:r>
          </w:p>
          <w:p>
            <w:pPr>
              <w:spacing w:line="240" w:lineRule="exact"/>
              <w:jc w:val="center"/>
              <w:rPr>
                <w:b/>
                <w:color w:val="000000"/>
                <w:szCs w:val="21"/>
              </w:rPr>
            </w:pPr>
            <w:r>
              <w:rPr>
                <w:b/>
                <w:color w:val="000000"/>
                <w:szCs w:val="21"/>
              </w:rPr>
              <w:t>O:29.12.00</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040" w:type="dxa"/>
            <w:vAlign w:val="center"/>
          </w:tcPr>
          <w:p>
            <w:pPr>
              <w:rPr>
                <w:b/>
                <w:color w:val="000000"/>
                <w:szCs w:val="21"/>
              </w:rPr>
            </w:pPr>
          </w:p>
        </w:tc>
        <w:tc>
          <w:tcPr>
            <w:tcW w:w="197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040" w:type="dxa"/>
            <w:vAlign w:val="center"/>
          </w:tcPr>
          <w:p>
            <w:pPr>
              <w:rPr>
                <w:b/>
                <w:color w:val="000000"/>
                <w:szCs w:val="21"/>
              </w:rPr>
            </w:pPr>
          </w:p>
        </w:tc>
        <w:tc>
          <w:tcPr>
            <w:tcW w:w="197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040" w:type="dxa"/>
            <w:vAlign w:val="center"/>
          </w:tcPr>
          <w:p>
            <w:pPr>
              <w:rPr>
                <w:b/>
                <w:color w:val="000000"/>
                <w:szCs w:val="21"/>
              </w:rPr>
            </w:pPr>
            <w:r>
              <w:rPr>
                <w:rFonts w:hint="eastAsia"/>
                <w:b/>
                <w:color w:val="000000"/>
                <w:szCs w:val="21"/>
              </w:rPr>
              <w:t>工作单位</w:t>
            </w:r>
          </w:p>
        </w:tc>
        <w:tc>
          <w:tcPr>
            <w:tcW w:w="305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040" w:type="dxa"/>
            <w:vAlign w:val="center"/>
          </w:tcPr>
          <w:p>
            <w:pPr>
              <w:rPr>
                <w:b/>
                <w:color w:val="000000"/>
                <w:szCs w:val="21"/>
              </w:rPr>
            </w:pPr>
          </w:p>
        </w:tc>
        <w:tc>
          <w:tcPr>
            <w:tcW w:w="305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040" w:type="dxa"/>
            <w:vAlign w:val="center"/>
          </w:tcPr>
          <w:p>
            <w:pPr>
              <w:rPr>
                <w:b/>
                <w:color w:val="000000"/>
                <w:szCs w:val="21"/>
                <w:highlight w:val="green"/>
              </w:rPr>
            </w:pPr>
          </w:p>
        </w:tc>
        <w:tc>
          <w:tcPr>
            <w:tcW w:w="305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17" w:name="组织名称Add1"/>
            <w:r>
              <w:rPr>
                <w:rFonts w:ascii="宋体"/>
                <w:b/>
                <w:color w:val="000000"/>
                <w:szCs w:val="21"/>
              </w:rPr>
              <w:t>重庆佳雨龙润实业有限公司</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18" w:name="注册地址"/>
            <w:r>
              <w:rPr>
                <w:rFonts w:ascii="宋体"/>
                <w:b/>
                <w:color w:val="000000"/>
                <w:szCs w:val="21"/>
              </w:rPr>
              <w:t>重庆市南岸经开区长生桥镇茶园新区通江大道215号</w:t>
            </w:r>
            <w:bookmarkEnd w:id="18"/>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19" w:name="注册邮编"/>
            <w:r>
              <w:rPr>
                <w:rFonts w:ascii="宋体"/>
                <w:b/>
                <w:color w:val="000000"/>
                <w:szCs w:val="21"/>
              </w:rPr>
              <w:t>400000</w:t>
            </w:r>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0" w:name="办公地址"/>
            <w:bookmarkStart w:id="21" w:name="生产地址"/>
            <w:r>
              <w:rPr>
                <w:rFonts w:ascii="宋体"/>
                <w:b/>
                <w:color w:val="000000"/>
                <w:szCs w:val="21"/>
              </w:rPr>
              <w:t>重庆市南岸经开区长生桥镇茶园新区通江大道215号</w:t>
            </w:r>
            <w:bookmarkEnd w:id="20"/>
            <w:bookmarkEnd w:id="21"/>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2" w:name="办公邮编"/>
            <w:r>
              <w:rPr>
                <w:rFonts w:ascii="宋体"/>
                <w:b/>
                <w:color w:val="000000"/>
                <w:szCs w:val="21"/>
              </w:rPr>
              <w:t>400000</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23" w:name="联系人"/>
            <w:r>
              <w:rPr>
                <w:rFonts w:ascii="宋体"/>
                <w:b/>
                <w:color w:val="000000"/>
                <w:szCs w:val="21"/>
              </w:rPr>
              <w:t>倪燕</w:t>
            </w:r>
            <w:bookmarkEnd w:id="23"/>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24" w:name="联系人手机"/>
            <w:r>
              <w:rPr>
                <w:rFonts w:ascii="宋体"/>
                <w:b/>
                <w:color w:val="000000"/>
                <w:szCs w:val="21"/>
              </w:rPr>
              <w:t>13228685343</w:t>
            </w:r>
            <w:bookmarkEnd w:id="24"/>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25" w:name="联系人传真"/>
            <w:bookmarkEnd w:id="2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26" w:name="法人"/>
            <w:r>
              <w:rPr>
                <w:rFonts w:ascii="宋体"/>
                <w:b/>
                <w:color w:val="000000"/>
                <w:szCs w:val="21"/>
              </w:rPr>
              <w:t>钟英</w:t>
            </w:r>
            <w:bookmarkEnd w:id="26"/>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27" w:name="管理者代表"/>
            <w:r>
              <w:rPr>
                <w:rFonts w:ascii="宋体"/>
                <w:b/>
                <w:color w:val="000000"/>
                <w:szCs w:val="21"/>
              </w:rPr>
              <w:t>张佐</w:t>
            </w:r>
            <w:bookmarkEnd w:id="27"/>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r>
              <w:rPr>
                <w:rFonts w:hint="eastAsia"/>
                <w:sz w:val="20"/>
                <w:lang w:eastAsia="zh-CN"/>
              </w:rPr>
              <w:t>电线、电缆、发电机、变压器的销售</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highlight w:val="none"/>
              </w:rPr>
            </w:pPr>
            <w:r>
              <w:rPr>
                <w:rFonts w:hint="eastAsia" w:ascii="宋体" w:hAnsi="宋体"/>
                <w:color w:val="000000"/>
                <w:szCs w:val="21"/>
                <w:highlight w:val="none"/>
              </w:rPr>
              <w:t>生产/服务提供流程简图</w:t>
            </w:r>
          </w:p>
          <w:p>
            <w:pPr>
              <w:tabs>
                <w:tab w:val="left" w:pos="0"/>
              </w:tabs>
              <w:rPr>
                <w:rFonts w:ascii="宋体" w:hAnsi="宋体"/>
                <w:color w:val="000000"/>
                <w:szCs w:val="21"/>
                <w:highlight w:val="none"/>
              </w:rPr>
            </w:pPr>
          </w:p>
          <w:p>
            <w:pPr>
              <w:tabs>
                <w:tab w:val="left" w:pos="0"/>
              </w:tabs>
              <w:rPr>
                <w:rFonts w:ascii="宋体" w:hAnsi="宋体"/>
                <w:color w:val="000000"/>
                <w:szCs w:val="21"/>
                <w:highlight w:val="none"/>
              </w:rPr>
            </w:pPr>
          </w:p>
        </w:tc>
        <w:tc>
          <w:tcPr>
            <w:tcW w:w="8058" w:type="dxa"/>
            <w:gridSpan w:val="7"/>
            <w:shd w:val="clear" w:color="auto" w:fill="auto"/>
          </w:tcPr>
          <w:p>
            <w:pPr>
              <w:tabs>
                <w:tab w:val="left" w:pos="2385"/>
              </w:tabs>
              <w:spacing w:line="360" w:lineRule="auto"/>
              <w:rPr>
                <w:rFonts w:hint="eastAsia" w:ascii="Times New Roman" w:hAnsi="Times New Roman" w:eastAsia="宋体" w:cs="Times New Roman"/>
                <w:bCs/>
                <w:color w:val="000000"/>
                <w:highlight w:val="none"/>
              </w:rPr>
            </w:pPr>
            <w:r>
              <w:rPr>
                <w:rFonts w:hint="eastAsia" w:ascii="Times New Roman" w:hAnsi="Times New Roman" w:eastAsia="宋体" w:cs="Times New Roman"/>
                <w:color w:val="000000"/>
                <w:highlight w:val="none"/>
              </w:rPr>
              <w:t>客户沟通询价—业务洽谈—合同签订—采购产品—检验—产品销售—客户签收—售后服务</w:t>
            </w:r>
          </w:p>
          <w:p>
            <w:pPr>
              <w:rPr>
                <w:rFonts w:ascii="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r>
              <w:rPr>
                <w:rFonts w:hint="eastAsia"/>
                <w:sz w:val="20"/>
                <w:lang w:eastAsia="zh-CN"/>
              </w:rPr>
              <w:t>电线、电缆、发电机、变压器的销售</w:t>
            </w:r>
          </w:p>
        </w:tc>
        <w:tc>
          <w:tcPr>
            <w:tcW w:w="2006" w:type="dxa"/>
            <w:gridSpan w:val="3"/>
            <w:vAlign w:val="center"/>
          </w:tcPr>
          <w:p>
            <w:pPr>
              <w:spacing w:line="400" w:lineRule="exact"/>
              <w:rPr>
                <w:rFonts w:ascii="宋体" w:hAnsi="宋体"/>
                <w:b/>
                <w:color w:val="000000"/>
                <w:szCs w:val="21"/>
              </w:rPr>
            </w:pPr>
            <w:r>
              <w:rPr>
                <w:sz w:val="20"/>
              </w:rPr>
              <w:t>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rPr>
                <w:rFonts w:ascii="宋体" w:hAnsi="宋体"/>
                <w:b/>
                <w:color w:val="000000"/>
                <w:szCs w:val="21"/>
              </w:rPr>
            </w:pPr>
            <w:r>
              <w:rPr>
                <w:rFonts w:hint="eastAsia"/>
                <w:sz w:val="20"/>
                <w:lang w:eastAsia="zh-CN"/>
              </w:rPr>
              <w:t>电线、电缆、发电机、变压器的销售</w:t>
            </w:r>
            <w:r>
              <w:rPr>
                <w:sz w:val="20"/>
              </w:rPr>
              <w:t>所涉及场所的相关环境管理活动</w:t>
            </w:r>
          </w:p>
        </w:tc>
        <w:tc>
          <w:tcPr>
            <w:tcW w:w="2006" w:type="dxa"/>
            <w:gridSpan w:val="3"/>
            <w:vAlign w:val="center"/>
          </w:tcPr>
          <w:p>
            <w:pPr>
              <w:spacing w:line="400" w:lineRule="exact"/>
              <w:rPr>
                <w:rFonts w:ascii="宋体" w:hAnsi="宋体"/>
                <w:b/>
                <w:color w:val="000000"/>
                <w:szCs w:val="21"/>
              </w:rPr>
            </w:pPr>
            <w:r>
              <w:rPr>
                <w:sz w:val="20"/>
              </w:rPr>
              <w:t>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r>
              <w:rPr>
                <w:rFonts w:hint="eastAsia"/>
                <w:sz w:val="20"/>
                <w:lang w:eastAsia="zh-CN"/>
              </w:rPr>
              <w:t>电线、电缆、发电机、变压器的销售</w:t>
            </w:r>
            <w:r>
              <w:rPr>
                <w:sz w:val="20"/>
              </w:rPr>
              <w:t>所涉及场所的相关职业健康安全管理活动</w:t>
            </w:r>
          </w:p>
        </w:tc>
        <w:tc>
          <w:tcPr>
            <w:tcW w:w="2006" w:type="dxa"/>
            <w:gridSpan w:val="3"/>
            <w:vAlign w:val="center"/>
          </w:tcPr>
          <w:p>
            <w:pPr>
              <w:spacing w:line="400" w:lineRule="exact"/>
              <w:rPr>
                <w:rFonts w:ascii="宋体" w:hAnsi="宋体"/>
                <w:b/>
                <w:color w:val="000000"/>
                <w:szCs w:val="21"/>
              </w:rPr>
            </w:pPr>
            <w:r>
              <w:rPr>
                <w:sz w:val="20"/>
              </w:rPr>
              <w:t>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eastAsia="宋体" w:cs="宋体"/>
                <w:color w:val="000000"/>
                <w:spacing w:val="-10"/>
                <w:szCs w:val="21"/>
              </w:rPr>
              <w:t>■</w:t>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2"/>
        <w:rPr>
          <w:rFonts w:eastAsia="黑体" w:cs="Arial"/>
          <w:sz w:val="21"/>
          <w:szCs w:val="21"/>
          <w:lang w:val="en-US" w:eastAsia="ja-JP"/>
        </w:rPr>
      </w:pPr>
      <w:r>
        <w:rPr>
          <w:rFonts w:eastAsia="黑体"/>
          <w:sz w:val="21"/>
          <w:szCs w:val="21"/>
          <w:lang w:eastAsia="zh-CN"/>
        </w:rPr>
        <w:t>认证覆盖以下各场所/场地及其对应的范围: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1559"/>
        <w:gridCol w:w="840"/>
        <w:gridCol w:w="1930"/>
        <w:gridCol w:w="1981"/>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3"/>
              <w:spacing w:before="0" w:after="0"/>
              <w:rPr>
                <w:rFonts w:eastAsia="黑体" w:cs="Arial"/>
                <w:sz w:val="21"/>
                <w:szCs w:val="21"/>
                <w:lang w:eastAsia="zh-CN"/>
              </w:rPr>
            </w:pPr>
            <w:r>
              <w:rPr>
                <w:rFonts w:eastAsia="黑体" w:cs="Arial"/>
                <w:sz w:val="21"/>
                <w:szCs w:val="21"/>
                <w:lang w:eastAsia="zh-CN"/>
              </w:rPr>
              <w:t>场所编号</w:t>
            </w:r>
          </w:p>
          <w:p>
            <w:pPr>
              <w:pStyle w:val="23"/>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1559" w:type="dxa"/>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sz w:val="21"/>
                <w:szCs w:val="21"/>
                <w:lang w:eastAsia="zh-CN"/>
              </w:rPr>
              <w:t>经营场所的地址</w:t>
            </w:r>
          </w:p>
        </w:tc>
        <w:tc>
          <w:tcPr>
            <w:tcW w:w="840" w:type="dxa"/>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sz w:val="21"/>
                <w:szCs w:val="21"/>
                <w:lang w:eastAsia="zh-CN"/>
              </w:rPr>
              <w:t>员工人数</w:t>
            </w:r>
          </w:p>
        </w:tc>
        <w:tc>
          <w:tcPr>
            <w:tcW w:w="1930" w:type="dxa"/>
            <w:shd w:val="clear" w:color="auto" w:fill="F3F3F3"/>
            <w:tcMar>
              <w:left w:w="57" w:type="dxa"/>
              <w:right w:w="57" w:type="dxa"/>
            </w:tcMar>
          </w:tcPr>
          <w:p>
            <w:pPr>
              <w:pStyle w:val="23"/>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3"/>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1981" w:type="dxa"/>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hint="eastAsia" w:eastAsia="宋体"/>
                <w:szCs w:val="21"/>
                <w:lang w:val="en-US" w:eastAsia="zh-CN"/>
              </w:rPr>
            </w:pPr>
            <w:r>
              <w:rPr>
                <w:sz w:val="21"/>
                <w:szCs w:val="21"/>
              </w:rPr>
              <w:t>重庆佳雨龙润实业有限公司</w:t>
            </w:r>
            <w:r>
              <w:rPr>
                <w:rFonts w:hint="eastAsia"/>
                <w:sz w:val="21"/>
                <w:szCs w:val="21"/>
                <w:lang w:val="en-US" w:eastAsia="zh-CN"/>
              </w:rPr>
              <w:t>/</w:t>
            </w:r>
            <w:r>
              <w:rPr>
                <w:rFonts w:asciiTheme="minorEastAsia" w:hAnsiTheme="minorEastAsia" w:eastAsiaTheme="minorEastAsia"/>
                <w:sz w:val="20"/>
              </w:rPr>
              <w:t>重庆市南岸经开区长生桥镇茶园新区通江大道215号</w:t>
            </w:r>
          </w:p>
        </w:tc>
        <w:tc>
          <w:tcPr>
            <w:tcW w:w="1559" w:type="dxa"/>
          </w:tcPr>
          <w:p>
            <w:pPr>
              <w:spacing w:before="40" w:after="40"/>
              <w:rPr>
                <w:rFonts w:eastAsia="黑体"/>
                <w:szCs w:val="21"/>
                <w:lang w:val="de-DE" w:eastAsia="ja-JP"/>
              </w:rPr>
            </w:pPr>
            <w:r>
              <w:rPr>
                <w:rFonts w:asciiTheme="minorEastAsia" w:hAnsiTheme="minorEastAsia" w:eastAsiaTheme="minorEastAsia"/>
                <w:sz w:val="20"/>
              </w:rPr>
              <w:t>重庆市南岸经开区长生桥镇茶园新区通江大道215号</w:t>
            </w:r>
          </w:p>
        </w:tc>
        <w:tc>
          <w:tcPr>
            <w:tcW w:w="840" w:type="dxa"/>
            <w:vAlign w:val="center"/>
          </w:tcPr>
          <w:p>
            <w:pPr>
              <w:spacing w:before="40" w:after="40"/>
              <w:rPr>
                <w:rFonts w:hint="default" w:eastAsia="黑体"/>
                <w:szCs w:val="21"/>
                <w:lang w:val="en-US" w:eastAsia="zh-CN"/>
              </w:rPr>
            </w:pPr>
            <w:r>
              <w:rPr>
                <w:rFonts w:hint="eastAsia" w:eastAsia="黑体"/>
                <w:szCs w:val="21"/>
                <w:lang w:val="en-US" w:eastAsia="zh-CN"/>
              </w:rPr>
              <w:t>5</w:t>
            </w:r>
          </w:p>
        </w:tc>
        <w:tc>
          <w:tcPr>
            <w:tcW w:w="1930" w:type="dxa"/>
            <w:vAlign w:val="center"/>
          </w:tcPr>
          <w:p>
            <w:pPr>
              <w:rPr>
                <w:rFonts w:hint="eastAsia" w:eastAsia="宋体"/>
                <w:sz w:val="20"/>
                <w:lang w:eastAsia="zh-CN"/>
              </w:rPr>
            </w:pPr>
            <w:bookmarkStart w:id="28" w:name="审核范围"/>
            <w:r>
              <w:rPr>
                <w:rFonts w:hint="eastAsia"/>
                <w:sz w:val="20"/>
                <w:lang w:eastAsia="zh-CN"/>
              </w:rPr>
              <w:t>电线、电缆、发电机、变压器的销售</w:t>
            </w:r>
          </w:p>
          <w:bookmarkEnd w:id="28"/>
          <w:p>
            <w:pPr>
              <w:pStyle w:val="21"/>
              <w:rPr>
                <w:rFonts w:eastAsia="黑体" w:cs="Arial"/>
                <w:sz w:val="21"/>
                <w:szCs w:val="21"/>
                <w:lang w:val="en-US" w:eastAsia="ja-JP"/>
              </w:rPr>
            </w:pPr>
          </w:p>
        </w:tc>
        <w:tc>
          <w:tcPr>
            <w:tcW w:w="1981" w:type="dxa"/>
            <w:vAlign w:val="top"/>
          </w:tcPr>
          <w:p>
            <w:pPr>
              <w:spacing w:before="40" w:after="40"/>
              <w:rPr>
                <w:rFonts w:hint="eastAsia" w:ascii="宋体" w:hAnsi="宋体"/>
                <w:b w:val="0"/>
                <w:bCs/>
                <w:szCs w:val="21"/>
              </w:rPr>
            </w:pPr>
            <w:r>
              <w:rPr>
                <w:rFonts w:hint="eastAsia" w:ascii="宋体" w:hAnsi="宋体"/>
                <w:b w:val="0"/>
                <w:bCs/>
                <w:szCs w:val="21"/>
              </w:rPr>
              <w:t>GB/T19001-2016</w:t>
            </w:r>
          </w:p>
          <w:p>
            <w:pPr>
              <w:rPr>
                <w:rFonts w:ascii="Times New Roman" w:hAnsi="Times New Roman" w:eastAsia="黑体" w:cs="Times New Roman"/>
                <w:b w:val="0"/>
                <w:bCs/>
                <w:kern w:val="2"/>
                <w:sz w:val="21"/>
                <w:szCs w:val="21"/>
                <w:lang w:val="en-US" w:eastAsia="ja-JP" w:bidi="ar-SA"/>
              </w:rPr>
            </w:pPr>
          </w:p>
        </w:tc>
        <w:tc>
          <w:tcPr>
            <w:tcW w:w="668" w:type="dxa"/>
            <w:shd w:val="clear" w:color="auto" w:fill="FFFFFF"/>
            <w:vAlign w:val="top"/>
          </w:tcPr>
          <w:sdt>
            <w:sdtPr>
              <w:rPr>
                <w:rFonts w:eastAsia="黑体"/>
                <w:szCs w:val="21"/>
              </w:rPr>
              <w:id w:val="271604670"/>
            </w:sdtPr>
            <w:sdtEndPr>
              <w:rPr>
                <w:rFonts w:eastAsia="黑体"/>
                <w:szCs w:val="21"/>
              </w:rPr>
            </w:sdtEndPr>
            <w:sdtContent>
              <w:p>
                <w:pPr>
                  <w:rPr>
                    <w:rFonts w:eastAsia="黑体"/>
                    <w:szCs w:val="21"/>
                  </w:rPr>
                </w:pPr>
                <w:r>
                  <w:rPr>
                    <w:rFonts w:hint="eastAsia" w:ascii="宋体" w:hAnsi="宋体" w:eastAsia="宋体" w:cs="宋体"/>
                    <w:szCs w:val="21"/>
                  </w:rPr>
                  <w:t>■</w:t>
                </w:r>
              </w:p>
            </w:sdtContent>
          </w:sdt>
          <w:p>
            <w:pPr>
              <w:rPr>
                <w:rFonts w:ascii="Times New Roman" w:hAnsi="Times New Roman" w:eastAsia="黑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top"/>
          </w:tcPr>
          <w:p>
            <w:pPr>
              <w:spacing w:before="40" w:after="40"/>
              <w:rPr>
                <w:rFonts w:eastAsia="黑体"/>
                <w:szCs w:val="21"/>
                <w:lang w:eastAsia="ja-JP"/>
              </w:rPr>
            </w:pPr>
            <w:r>
              <w:rPr>
                <w:sz w:val="21"/>
                <w:szCs w:val="21"/>
              </w:rPr>
              <w:t>重庆佳雨龙润实业有限公司</w:t>
            </w:r>
            <w:r>
              <w:rPr>
                <w:rFonts w:hint="eastAsia"/>
                <w:sz w:val="21"/>
                <w:szCs w:val="21"/>
                <w:lang w:val="en-US" w:eastAsia="zh-CN"/>
              </w:rPr>
              <w:t>/</w:t>
            </w:r>
            <w:r>
              <w:rPr>
                <w:rFonts w:asciiTheme="minorEastAsia" w:hAnsiTheme="minorEastAsia" w:eastAsiaTheme="minorEastAsia"/>
                <w:sz w:val="20"/>
              </w:rPr>
              <w:t>重庆市南岸经开区长生桥镇茶园新区通江大道215号</w:t>
            </w:r>
          </w:p>
        </w:tc>
        <w:tc>
          <w:tcPr>
            <w:tcW w:w="1559" w:type="dxa"/>
            <w:vAlign w:val="top"/>
          </w:tcPr>
          <w:p>
            <w:pPr>
              <w:spacing w:before="40" w:after="40"/>
              <w:rPr>
                <w:rFonts w:eastAsia="黑体"/>
                <w:szCs w:val="21"/>
                <w:lang w:eastAsia="ja-JP"/>
              </w:rPr>
            </w:pPr>
            <w:r>
              <w:rPr>
                <w:rFonts w:asciiTheme="minorEastAsia" w:hAnsiTheme="minorEastAsia" w:eastAsiaTheme="minorEastAsia"/>
                <w:sz w:val="20"/>
              </w:rPr>
              <w:t>重庆市南岸经开区长生桥镇茶园新区通江大道215号</w:t>
            </w:r>
          </w:p>
        </w:tc>
        <w:tc>
          <w:tcPr>
            <w:tcW w:w="840" w:type="dxa"/>
            <w:vAlign w:val="center"/>
          </w:tcPr>
          <w:p>
            <w:pPr>
              <w:spacing w:before="40" w:after="40"/>
              <w:rPr>
                <w:rFonts w:eastAsia="黑体"/>
                <w:szCs w:val="21"/>
                <w:lang w:eastAsia="ja-JP"/>
              </w:rPr>
            </w:pPr>
            <w:r>
              <w:rPr>
                <w:rFonts w:hint="eastAsia" w:eastAsia="黑体"/>
                <w:szCs w:val="21"/>
                <w:lang w:val="en-US" w:eastAsia="zh-CN"/>
              </w:rPr>
              <w:t>5</w:t>
            </w:r>
          </w:p>
        </w:tc>
        <w:tc>
          <w:tcPr>
            <w:tcW w:w="1930" w:type="dxa"/>
            <w:vAlign w:val="center"/>
          </w:tcPr>
          <w:p>
            <w:pPr>
              <w:rPr>
                <w:rFonts w:eastAsia="黑体"/>
                <w:szCs w:val="21"/>
                <w:lang w:eastAsia="ja-JP"/>
              </w:rPr>
            </w:pPr>
            <w:r>
              <w:rPr>
                <w:rFonts w:hint="eastAsia"/>
                <w:sz w:val="20"/>
                <w:lang w:eastAsia="zh-CN"/>
              </w:rPr>
              <w:t>电线、电缆、发电机、变压器的销售</w:t>
            </w:r>
            <w:r>
              <w:rPr>
                <w:sz w:val="20"/>
              </w:rPr>
              <w:t>所涉及场所的相关环境管理活动</w:t>
            </w:r>
          </w:p>
        </w:tc>
        <w:tc>
          <w:tcPr>
            <w:tcW w:w="1981" w:type="dxa"/>
            <w:vAlign w:val="center"/>
          </w:tcPr>
          <w:p>
            <w:pPr>
              <w:spacing w:before="40" w:after="40"/>
              <w:rPr>
                <w:rFonts w:hint="eastAsia" w:ascii="宋体" w:hAnsi="宋体"/>
                <w:b w:val="0"/>
                <w:bCs/>
                <w:szCs w:val="21"/>
              </w:rPr>
            </w:pPr>
            <w:r>
              <w:rPr>
                <w:rFonts w:hint="eastAsia" w:ascii="宋体" w:hAnsi="宋体"/>
                <w:b w:val="0"/>
                <w:bCs/>
                <w:szCs w:val="21"/>
              </w:rPr>
              <w:t>GB/T24001-2016</w:t>
            </w:r>
          </w:p>
          <w:p>
            <w:pPr>
              <w:spacing w:before="40" w:after="40"/>
              <w:rPr>
                <w:rFonts w:eastAsia="黑体"/>
                <w:szCs w:val="21"/>
                <w:lang w:eastAsia="ja-JP"/>
              </w:rPr>
            </w:pPr>
          </w:p>
        </w:tc>
        <w:tc>
          <w:tcPr>
            <w:tcW w:w="668" w:type="dxa"/>
            <w:shd w:val="clear" w:color="auto" w:fill="FFFFFF"/>
          </w:tcPr>
          <w:sdt>
            <w:sdtPr>
              <w:rPr>
                <w:rFonts w:eastAsia="黑体"/>
                <w:szCs w:val="21"/>
              </w:rPr>
              <w:id w:val="271604670"/>
            </w:sdtPr>
            <w:sdtEndPr>
              <w:rPr>
                <w:rFonts w:eastAsia="黑体"/>
                <w:szCs w:val="21"/>
              </w:rPr>
            </w:sdtEndPr>
            <w:sdtContent>
              <w:p>
                <w:pPr>
                  <w:rPr>
                    <w:rFonts w:eastAsia="黑体"/>
                    <w:szCs w:val="21"/>
                  </w:rPr>
                </w:pPr>
                <w:r>
                  <w:rPr>
                    <w:rFonts w:hint="eastAsia" w:ascii="宋体" w:hAnsi="宋体" w:eastAsia="宋体" w:cs="宋体"/>
                    <w:szCs w:val="21"/>
                  </w:rPr>
                  <w:t>■</w:t>
                </w:r>
              </w:p>
            </w:sdtContent>
          </w:sdt>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top"/>
          </w:tcPr>
          <w:p>
            <w:pPr>
              <w:spacing w:before="40" w:after="40"/>
              <w:rPr>
                <w:rFonts w:eastAsia="黑体"/>
                <w:szCs w:val="21"/>
                <w:lang w:eastAsia="ja-JP"/>
              </w:rPr>
            </w:pPr>
            <w:r>
              <w:rPr>
                <w:sz w:val="21"/>
                <w:szCs w:val="21"/>
              </w:rPr>
              <w:t>重庆佳雨龙润实业有限公司</w:t>
            </w:r>
            <w:r>
              <w:rPr>
                <w:rFonts w:hint="eastAsia"/>
                <w:sz w:val="21"/>
                <w:szCs w:val="21"/>
                <w:lang w:val="en-US" w:eastAsia="zh-CN"/>
              </w:rPr>
              <w:t>/</w:t>
            </w:r>
            <w:r>
              <w:rPr>
                <w:rFonts w:asciiTheme="minorEastAsia" w:hAnsiTheme="minorEastAsia" w:eastAsiaTheme="minorEastAsia"/>
                <w:sz w:val="20"/>
              </w:rPr>
              <w:t>重庆市南岸经开区长生桥镇茶园新区通江大道215号</w:t>
            </w:r>
          </w:p>
        </w:tc>
        <w:tc>
          <w:tcPr>
            <w:tcW w:w="1559" w:type="dxa"/>
            <w:vAlign w:val="top"/>
          </w:tcPr>
          <w:p>
            <w:pPr>
              <w:spacing w:before="40" w:after="40"/>
              <w:rPr>
                <w:rFonts w:eastAsia="黑体"/>
                <w:szCs w:val="21"/>
                <w:lang w:eastAsia="ja-JP"/>
              </w:rPr>
            </w:pPr>
            <w:r>
              <w:rPr>
                <w:rFonts w:asciiTheme="minorEastAsia" w:hAnsiTheme="minorEastAsia" w:eastAsiaTheme="minorEastAsia"/>
                <w:sz w:val="20"/>
              </w:rPr>
              <w:t>重庆市南岸经开区长生桥镇茶园新区通江大道215号</w:t>
            </w:r>
          </w:p>
        </w:tc>
        <w:tc>
          <w:tcPr>
            <w:tcW w:w="840" w:type="dxa"/>
            <w:vAlign w:val="center"/>
          </w:tcPr>
          <w:p>
            <w:pPr>
              <w:spacing w:before="40" w:after="40"/>
              <w:rPr>
                <w:rFonts w:eastAsia="黑体"/>
                <w:szCs w:val="21"/>
                <w:lang w:eastAsia="ja-JP"/>
              </w:rPr>
            </w:pPr>
            <w:r>
              <w:rPr>
                <w:rFonts w:hint="eastAsia" w:eastAsia="黑体"/>
                <w:szCs w:val="21"/>
                <w:lang w:val="en-US" w:eastAsia="zh-CN"/>
              </w:rPr>
              <w:t>5</w:t>
            </w:r>
          </w:p>
        </w:tc>
        <w:tc>
          <w:tcPr>
            <w:tcW w:w="1930" w:type="dxa"/>
            <w:vAlign w:val="center"/>
          </w:tcPr>
          <w:p>
            <w:pPr>
              <w:spacing w:before="40" w:after="40"/>
              <w:rPr>
                <w:rFonts w:eastAsia="黑体"/>
                <w:szCs w:val="21"/>
                <w:lang w:eastAsia="ja-JP"/>
              </w:rPr>
            </w:pPr>
            <w:r>
              <w:rPr>
                <w:rFonts w:hint="eastAsia"/>
                <w:sz w:val="20"/>
                <w:lang w:eastAsia="zh-CN"/>
              </w:rPr>
              <w:t>电线、电缆、发电机、变压器的销售</w:t>
            </w:r>
            <w:r>
              <w:rPr>
                <w:sz w:val="20"/>
              </w:rPr>
              <w:t>所涉及场所的相关职业健康安全管理活动</w:t>
            </w:r>
          </w:p>
        </w:tc>
        <w:tc>
          <w:tcPr>
            <w:tcW w:w="1981" w:type="dxa"/>
            <w:vAlign w:val="center"/>
          </w:tcPr>
          <w:p>
            <w:pPr>
              <w:spacing w:before="40" w:after="40"/>
              <w:rPr>
                <w:rFonts w:eastAsia="黑体"/>
                <w:szCs w:val="21"/>
                <w:lang w:eastAsia="ja-JP"/>
              </w:rPr>
            </w:pPr>
            <w:r>
              <w:rPr>
                <w:rFonts w:hint="eastAsia" w:ascii="宋体" w:hAnsi="宋体"/>
                <w:b w:val="0"/>
                <w:bCs/>
                <w:szCs w:val="21"/>
              </w:rPr>
              <w:t>GB/T 45001-2020</w:t>
            </w:r>
          </w:p>
        </w:tc>
        <w:tc>
          <w:tcPr>
            <w:tcW w:w="668" w:type="dxa"/>
            <w:shd w:val="clear" w:color="auto" w:fill="FFFFFF"/>
          </w:tcPr>
          <w:sdt>
            <w:sdtPr>
              <w:rPr>
                <w:rFonts w:eastAsia="黑体"/>
                <w:szCs w:val="21"/>
              </w:rPr>
              <w:id w:val="271604670"/>
            </w:sdtPr>
            <w:sdtEndPr>
              <w:rPr>
                <w:rFonts w:eastAsia="黑体"/>
                <w:szCs w:val="21"/>
              </w:rPr>
            </w:sdtEndPr>
            <w:sdtContent>
              <w:p>
                <w:pPr>
                  <w:rPr>
                    <w:rFonts w:eastAsia="黑体"/>
                    <w:szCs w:val="21"/>
                  </w:rPr>
                </w:pPr>
                <w:r>
                  <w:rPr>
                    <w:rFonts w:hint="eastAsia" w:ascii="宋体" w:hAnsi="宋体" w:eastAsia="宋体" w:cs="宋体"/>
                    <w:szCs w:val="21"/>
                  </w:rPr>
                  <w:t>■</w:t>
                </w:r>
              </w:p>
            </w:sdtContent>
          </w:sdt>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1559" w:type="dxa"/>
            <w:vAlign w:val="center"/>
          </w:tcPr>
          <w:p>
            <w:pPr>
              <w:spacing w:before="40" w:after="40"/>
              <w:rPr>
                <w:rFonts w:eastAsia="黑体"/>
                <w:szCs w:val="21"/>
                <w:lang w:eastAsia="ja-JP"/>
              </w:rPr>
            </w:pPr>
          </w:p>
        </w:tc>
        <w:tc>
          <w:tcPr>
            <w:tcW w:w="840" w:type="dxa"/>
            <w:vAlign w:val="center"/>
          </w:tcPr>
          <w:p>
            <w:pPr>
              <w:spacing w:before="40" w:after="40"/>
              <w:rPr>
                <w:rFonts w:eastAsia="黑体"/>
                <w:szCs w:val="21"/>
                <w:lang w:eastAsia="ja-JP"/>
              </w:rPr>
            </w:pPr>
          </w:p>
        </w:tc>
        <w:tc>
          <w:tcPr>
            <w:tcW w:w="1930" w:type="dxa"/>
            <w:vAlign w:val="center"/>
          </w:tcPr>
          <w:p>
            <w:pPr>
              <w:spacing w:before="40" w:after="40"/>
              <w:rPr>
                <w:rFonts w:eastAsia="黑体"/>
                <w:szCs w:val="21"/>
                <w:lang w:eastAsia="ja-JP"/>
              </w:rPr>
            </w:pPr>
          </w:p>
        </w:tc>
        <w:tc>
          <w:tcPr>
            <w:tcW w:w="1981"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1559" w:type="dxa"/>
            <w:vAlign w:val="center"/>
          </w:tcPr>
          <w:p>
            <w:pPr>
              <w:spacing w:before="40" w:after="40"/>
              <w:rPr>
                <w:rFonts w:eastAsia="黑体"/>
                <w:szCs w:val="21"/>
                <w:lang w:eastAsia="ja-JP"/>
              </w:rPr>
            </w:pPr>
          </w:p>
        </w:tc>
        <w:tc>
          <w:tcPr>
            <w:tcW w:w="840" w:type="dxa"/>
            <w:vAlign w:val="center"/>
          </w:tcPr>
          <w:p>
            <w:pPr>
              <w:spacing w:before="40" w:after="40"/>
              <w:rPr>
                <w:rFonts w:eastAsia="黑体"/>
                <w:szCs w:val="21"/>
                <w:lang w:eastAsia="ja-JP"/>
              </w:rPr>
            </w:pPr>
          </w:p>
        </w:tc>
        <w:tc>
          <w:tcPr>
            <w:tcW w:w="1930" w:type="dxa"/>
            <w:vAlign w:val="center"/>
          </w:tcPr>
          <w:p>
            <w:pPr>
              <w:spacing w:before="40" w:after="40"/>
              <w:rPr>
                <w:rFonts w:eastAsia="黑体"/>
                <w:szCs w:val="21"/>
                <w:lang w:eastAsia="ja-JP"/>
              </w:rPr>
            </w:pPr>
          </w:p>
        </w:tc>
        <w:tc>
          <w:tcPr>
            <w:tcW w:w="1981"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9"/>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71"/>
        <w:gridCol w:w="1194"/>
        <w:gridCol w:w="1461"/>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5471" w:type="dxa"/>
            <w:shd w:val="clear" w:color="auto" w:fill="auto"/>
            <w:vAlign w:val="center"/>
          </w:tcPr>
          <w:p>
            <w:pPr>
              <w:pStyle w:val="23"/>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194" w:type="dxa"/>
            <w:shd w:val="clear" w:color="auto" w:fill="auto"/>
            <w:vAlign w:val="center"/>
          </w:tcPr>
          <w:p>
            <w:pPr>
              <w:pStyle w:val="23"/>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461"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5471"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194" w:type="dxa"/>
            <w:shd w:val="clear" w:color="auto" w:fill="auto"/>
            <w:vAlign w:val="center"/>
          </w:tcPr>
          <w:p>
            <w:pPr>
              <w:pStyle w:val="23"/>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461"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5471"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194" w:type="dxa"/>
            <w:shd w:val="clear" w:color="auto" w:fill="auto"/>
            <w:vAlign w:val="center"/>
          </w:tcPr>
          <w:p>
            <w:pPr>
              <w:pStyle w:val="23"/>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461"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5471" w:type="dxa"/>
            <w:shd w:val="clear" w:color="auto" w:fill="auto"/>
            <w:vAlign w:val="center"/>
          </w:tcPr>
          <w:p>
            <w:pPr>
              <w:pStyle w:val="23"/>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194" w:type="dxa"/>
            <w:shd w:val="clear" w:color="auto" w:fill="auto"/>
            <w:vAlign w:val="center"/>
          </w:tcPr>
          <w:p>
            <w:pPr>
              <w:pStyle w:val="23"/>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461"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5471" w:type="dxa"/>
            <w:shd w:val="clear" w:color="auto" w:fill="auto"/>
            <w:vAlign w:val="center"/>
          </w:tcPr>
          <w:p>
            <w:pPr>
              <w:pStyle w:val="23"/>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194" w:type="dxa"/>
            <w:shd w:val="clear" w:color="auto" w:fill="auto"/>
            <w:vAlign w:val="center"/>
          </w:tcPr>
          <w:p>
            <w:pPr>
              <w:pStyle w:val="23"/>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461"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5471" w:type="dxa"/>
            <w:shd w:val="clear" w:color="auto" w:fill="auto"/>
            <w:vAlign w:val="center"/>
          </w:tcPr>
          <w:p>
            <w:pPr>
              <w:pStyle w:val="23"/>
              <w:jc w:val="left"/>
              <w:rPr>
                <w:rFonts w:ascii="宋体"/>
                <w:b w:val="0"/>
                <w:bCs/>
                <w:color w:val="000000"/>
                <w:sz w:val="21"/>
                <w:szCs w:val="21"/>
              </w:rPr>
            </w:pPr>
            <w:r>
              <w:rPr>
                <w:rFonts w:hint="eastAsia" w:ascii="宋体"/>
                <w:b w:val="0"/>
                <w:bCs/>
                <w:color w:val="000000"/>
                <w:sz w:val="21"/>
                <w:szCs w:val="21"/>
              </w:rPr>
              <w:t>安全生产许可证是否有效</w:t>
            </w:r>
          </w:p>
        </w:tc>
        <w:tc>
          <w:tcPr>
            <w:tcW w:w="1194" w:type="dxa"/>
            <w:shd w:val="clear" w:color="auto" w:fill="auto"/>
            <w:vAlign w:val="center"/>
          </w:tcPr>
          <w:p>
            <w:pPr>
              <w:pStyle w:val="23"/>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461"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eastAsia="宋体" w:cs="宋体"/>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5471" w:type="dxa"/>
            <w:shd w:val="clear" w:color="auto" w:fill="auto"/>
            <w:vAlign w:val="center"/>
          </w:tcPr>
          <w:p>
            <w:pPr>
              <w:pStyle w:val="23"/>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194" w:type="dxa"/>
            <w:shd w:val="clear" w:color="auto" w:fill="auto"/>
            <w:vAlign w:val="center"/>
          </w:tcPr>
          <w:p>
            <w:pPr>
              <w:pStyle w:val="23"/>
              <w:jc w:val="left"/>
              <w:rPr>
                <w:rFonts w:ascii="宋体" w:hAnsi="宋体"/>
                <w:color w:val="000000"/>
                <w:sz w:val="21"/>
                <w:szCs w:val="21"/>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461"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5471"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194" w:type="dxa"/>
            <w:shd w:val="clear" w:color="auto" w:fill="auto"/>
            <w:vAlign w:val="center"/>
          </w:tcPr>
          <w:p>
            <w:pPr>
              <w:pStyle w:val="23"/>
              <w:jc w:val="left"/>
              <w:rPr>
                <w:rFonts w:ascii="宋体" w:hAnsi="Times New Roman" w:eastAsia="Times New Roman" w:cs="Times New Roman"/>
                <w:b/>
                <w:color w:val="000000"/>
                <w:kern w:val="2"/>
                <w:sz w:val="21"/>
                <w:szCs w:val="21"/>
                <w:lang w:val="en-GB" w:eastAsia="zh-CN" w:bidi="ar-SA"/>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461" w:type="dxa"/>
            <w:shd w:val="clear" w:color="auto" w:fill="auto"/>
            <w:vAlign w:val="top"/>
          </w:tcPr>
          <w:p>
            <w:pPr>
              <w:rPr>
                <w:rFonts w:ascii="宋体" w:hAnsi="宋体" w:eastAsia="宋体" w:cs="Times New Roman"/>
                <w:color w:val="000000"/>
                <w:spacing w:val="-10"/>
                <w:kern w:val="2"/>
                <w:sz w:val="21"/>
                <w:szCs w:val="21"/>
                <w:lang w:val="en-US" w:eastAsia="zh-CN" w:bidi="ar-SA"/>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vAlign w:val="top"/>
          </w:tcPr>
          <w:p>
            <w:pPr>
              <w:rPr>
                <w:rFonts w:ascii="宋体" w:hAnsi="宋体" w:eastAsia="宋体" w:cs="Times New Roman"/>
                <w:color w:val="000000"/>
                <w:kern w:val="2"/>
                <w:sz w:val="21"/>
                <w:szCs w:val="21"/>
                <w:lang w:val="en-US" w:eastAsia="zh-CN" w:bidi="ar-SA"/>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5471"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194" w:type="dxa"/>
            <w:shd w:val="clear" w:color="auto" w:fill="auto"/>
            <w:vAlign w:val="center"/>
          </w:tcPr>
          <w:p>
            <w:pPr>
              <w:pStyle w:val="23"/>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461"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vAlign w:val="top"/>
          </w:tcPr>
          <w:p>
            <w:pPr>
              <w:rPr>
                <w:rFonts w:ascii="宋体" w:hAnsi="宋体"/>
                <w:color w:val="000000"/>
                <w:szCs w:val="21"/>
              </w:rPr>
            </w:pPr>
            <w:r>
              <w:rPr>
                <w:rFonts w:hint="eastAsia" w:ascii="宋体" w:hAnsi="宋体"/>
                <w:color w:val="000000"/>
                <w:szCs w:val="21"/>
              </w:rPr>
              <w:t xml:space="preserve">   </w:t>
            </w:r>
            <w:r>
              <w:rPr>
                <w:rFonts w:hint="eastAsia" w:ascii="宋体" w:hAnsi="宋体" w:eastAsia="宋体" w:cs="宋体"/>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5471"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194" w:type="dxa"/>
            <w:shd w:val="clear" w:color="auto" w:fill="auto"/>
            <w:vAlign w:val="center"/>
          </w:tcPr>
          <w:p>
            <w:pPr>
              <w:pStyle w:val="23"/>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461"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vAlign w:val="top"/>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hint="eastAsia" w:ascii="宋体" w:hAnsi="宋体"/>
          <w:b/>
          <w:color w:val="000000"/>
          <w:szCs w:val="21"/>
        </w:rPr>
      </w:pPr>
      <w:r>
        <w:rPr>
          <w:rFonts w:hint="eastAsia" w:ascii="宋体" w:hAnsi="宋体"/>
          <w:b/>
          <w:color w:val="000000"/>
          <w:szCs w:val="21"/>
        </w:rPr>
        <w:t>1.总体描述</w:t>
      </w:r>
    </w:p>
    <w:tbl>
      <w:tblPr>
        <w:tblStyle w:val="9"/>
        <w:tblpPr w:leftFromText="180" w:rightFromText="180" w:vertAnchor="text" w:horzAnchor="page" w:tblpX="1214" w:tblpY="500"/>
        <w:tblOverlap w:val="never"/>
        <w:tblW w:w="96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eastAsia="宋体" w:cs="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sdt>
              <w:sdtPr>
                <w:rPr>
                  <w:rFonts w:eastAsia="黑体"/>
                  <w:szCs w:val="21"/>
                </w:rPr>
                <w:id w:val="436627667"/>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sdt>
              <w:sdtPr>
                <w:rPr>
                  <w:rFonts w:eastAsia="黑体"/>
                  <w:szCs w:val="21"/>
                </w:rPr>
                <w:id w:val="436627666"/>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sdt>
              <w:sdtPr>
                <w:rPr>
                  <w:rFonts w:eastAsia="黑体"/>
                  <w:szCs w:val="21"/>
                </w:rPr>
                <w:id w:val="436627669"/>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sdt>
              <w:sdtPr>
                <w:rPr>
                  <w:rFonts w:eastAsia="黑体"/>
                  <w:szCs w:val="21"/>
                </w:rPr>
                <w:id w:val="436627668"/>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tcPr>
          <w:p>
            <w:pPr>
              <w:rPr>
                <w:rFonts w:ascii="宋体"/>
                <w:color w:val="000000"/>
                <w:szCs w:val="21"/>
              </w:rPr>
            </w:pPr>
            <w:sdt>
              <w:sdtPr>
                <w:rPr>
                  <w:rFonts w:eastAsia="黑体"/>
                  <w:szCs w:val="21"/>
                </w:rPr>
                <w:id w:val="436627671"/>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sdt>
              <w:sdtPr>
                <w:rPr>
                  <w:rFonts w:eastAsia="黑体"/>
                  <w:szCs w:val="21"/>
                </w:rPr>
                <w:id w:val="436627670"/>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sdt>
              <w:sdtPr>
                <w:rPr>
                  <w:rFonts w:eastAsia="黑体"/>
                  <w:szCs w:val="21"/>
                </w:rPr>
                <w:id w:val="436627672"/>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trPr>
        <w:tc>
          <w:tcPr>
            <w:tcW w:w="7398" w:type="dxa"/>
            <w:gridSpan w:val="3"/>
          </w:tcPr>
          <w:p>
            <w:pPr>
              <w:rPr>
                <w:rFonts w:ascii="宋体" w:hAnsi="宋体"/>
                <w:b/>
                <w:color w:val="000000"/>
                <w:szCs w:val="21"/>
                <w:highlight w:val="none"/>
              </w:rPr>
            </w:pPr>
            <w:r>
              <w:rPr>
                <w:rFonts w:hint="eastAsia" w:ascii="宋体" w:hAnsi="宋体"/>
                <w:b/>
                <w:color w:val="000000"/>
                <w:szCs w:val="21"/>
                <w:highlight w:val="none"/>
              </w:rPr>
              <w:t>10.</w:t>
            </w:r>
            <w:r>
              <w:rPr>
                <w:rFonts w:hint="eastAsia" w:ascii="宋体" w:hAnsi="宋体"/>
                <w:b/>
                <w:color w:val="000000"/>
                <w:szCs w:val="21"/>
                <w:highlight w:val="none"/>
                <w:u w:val="single"/>
              </w:rPr>
              <w:t>于</w:t>
            </w:r>
            <w:r>
              <w:rPr>
                <w:rFonts w:hint="eastAsia" w:ascii="宋体" w:hAnsi="宋体"/>
                <w:b/>
                <w:color w:val="000000"/>
                <w:szCs w:val="21"/>
                <w:highlight w:val="none"/>
                <w:u w:val="single"/>
                <w:lang w:eastAsia="zh-CN"/>
              </w:rPr>
              <w:t xml:space="preserve"> 2021年10月8日</w:t>
            </w:r>
            <w:r>
              <w:rPr>
                <w:rFonts w:hint="eastAsia" w:ascii="宋体" w:hAnsi="宋体"/>
                <w:b/>
                <w:color w:val="000000"/>
                <w:szCs w:val="21"/>
                <w:highlight w:val="none"/>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trPr>
        <w:tc>
          <w:tcPr>
            <w:tcW w:w="7398" w:type="dxa"/>
            <w:gridSpan w:val="3"/>
          </w:tcPr>
          <w:p>
            <w:pPr>
              <w:rPr>
                <w:rFonts w:ascii="宋体" w:hAnsi="宋体"/>
                <w:b/>
                <w:color w:val="000000"/>
                <w:szCs w:val="21"/>
                <w:highlight w:val="none"/>
              </w:rPr>
            </w:pPr>
            <w:r>
              <w:rPr>
                <w:rFonts w:hint="eastAsia" w:ascii="宋体" w:hAnsi="宋体"/>
                <w:b/>
                <w:color w:val="000000"/>
                <w:szCs w:val="21"/>
                <w:highlight w:val="none"/>
              </w:rPr>
              <w:t>11.已根据策划和标准要求</w:t>
            </w:r>
            <w:r>
              <w:rPr>
                <w:rFonts w:hint="eastAsia" w:ascii="宋体" w:hAnsi="宋体" w:eastAsia="宋体" w:cs="Times New Roman"/>
                <w:b/>
                <w:color w:val="000000"/>
                <w:szCs w:val="21"/>
                <w:highlight w:val="none"/>
              </w:rPr>
              <w:t>于</w:t>
            </w:r>
            <w:r>
              <w:rPr>
                <w:rFonts w:hint="eastAsia" w:ascii="宋体" w:hAnsi="宋体" w:cs="Times New Roman"/>
                <w:b/>
                <w:color w:val="000000"/>
                <w:szCs w:val="21"/>
                <w:highlight w:val="none"/>
                <w:u w:val="single"/>
                <w:lang w:val="en-US" w:eastAsia="zh-CN"/>
              </w:rPr>
              <w:t>2022年2月18日</w:t>
            </w:r>
            <w:r>
              <w:rPr>
                <w:rFonts w:hint="eastAsia" w:ascii="宋体" w:hAnsi="宋体" w:eastAsia="宋体" w:cs="Times New Roman"/>
                <w:b/>
                <w:color w:val="000000"/>
                <w:szCs w:val="21"/>
                <w:highlight w:val="none"/>
              </w:rPr>
              <w:t>由</w:t>
            </w:r>
            <w:r>
              <w:rPr>
                <w:rFonts w:hint="eastAsia" w:ascii="宋体" w:hAnsi="宋体"/>
                <w:b/>
                <w:color w:val="000000"/>
                <w:szCs w:val="21"/>
                <w:highlight w:val="none"/>
              </w:rPr>
              <w:t>有</w:t>
            </w:r>
            <w:r>
              <w:rPr>
                <w:rFonts w:hint="eastAsia" w:ascii="宋体" w:hAnsi="宋体"/>
                <w:b/>
                <w:color w:val="000000"/>
                <w:szCs w:val="21"/>
                <w:highlight w:val="none"/>
              </w:rPr>
              <w:t>能力的人实施了内部审核，覆盖所有场所、部门和过程，</w:t>
            </w:r>
            <w:r>
              <w:rPr>
                <w:rFonts w:hint="eastAsia" w:ascii="宋体" w:hAnsi="宋体"/>
                <w:b/>
                <w:color w:val="000000"/>
                <w:szCs w:val="21"/>
                <w:highlight w:val="none"/>
                <w:lang w:val="en-GB"/>
              </w:rPr>
              <w:t>组织通过内审验证了管理体系的</w:t>
            </w:r>
            <w:r>
              <w:rPr>
                <w:rFonts w:hint="eastAsia" w:ascii="宋体" w:hAnsi="宋体"/>
                <w:b/>
                <w:color w:val="000000"/>
                <w:szCs w:val="21"/>
                <w:highlight w:val="none"/>
              </w:rPr>
              <w:t>符合性</w:t>
            </w:r>
            <w:r>
              <w:rPr>
                <w:rFonts w:hint="eastAsia" w:ascii="宋体" w:hAnsi="宋体"/>
                <w:b/>
                <w:color w:val="000000"/>
                <w:szCs w:val="21"/>
                <w:highlight w:val="none"/>
                <w:lang w:val="en-GB"/>
              </w:rPr>
              <w:t>及有效性，</w:t>
            </w:r>
            <w:r>
              <w:rPr>
                <w:rFonts w:hint="eastAsia" w:ascii="宋体" w:hAnsi="宋体"/>
                <w:b/>
                <w:color w:val="000000"/>
                <w:szCs w:val="21"/>
                <w:highlight w:val="none"/>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trPr>
        <w:tc>
          <w:tcPr>
            <w:tcW w:w="7398" w:type="dxa"/>
            <w:gridSpan w:val="3"/>
          </w:tcPr>
          <w:p>
            <w:pPr>
              <w:pStyle w:val="23"/>
              <w:spacing w:before="40" w:after="40"/>
              <w:jc w:val="left"/>
              <w:rPr>
                <w:rFonts w:ascii="宋体" w:hAnsi="宋体" w:eastAsia="宋体"/>
                <w:color w:val="000000"/>
                <w:sz w:val="21"/>
                <w:szCs w:val="21"/>
                <w:highlight w:val="none"/>
                <w:lang w:val="en-GB" w:eastAsia="zh-CN"/>
              </w:rPr>
            </w:pPr>
            <w:r>
              <w:rPr>
                <w:rFonts w:hint="eastAsia" w:ascii="宋体" w:hAnsi="宋体" w:eastAsia="宋体"/>
                <w:color w:val="000000"/>
                <w:sz w:val="21"/>
                <w:szCs w:val="21"/>
                <w:highlight w:val="none"/>
                <w:lang w:val="en-US" w:eastAsia="zh-CN"/>
              </w:rPr>
              <w:t>12.已根据策划</w:t>
            </w:r>
            <w:r>
              <w:rPr>
                <w:rFonts w:hint="eastAsia" w:ascii="宋体" w:hAnsi="宋体" w:eastAsia="宋体" w:cs="Times New Roman"/>
                <w:b/>
                <w:color w:val="000000"/>
                <w:kern w:val="2"/>
                <w:sz w:val="21"/>
                <w:szCs w:val="21"/>
                <w:highlight w:val="none"/>
                <w:u w:val="single"/>
                <w:lang w:val="en-US" w:eastAsia="zh-CN" w:bidi="ar-SA"/>
              </w:rPr>
              <w:t>于2022年3月15日</w:t>
            </w:r>
            <w:r>
              <w:rPr>
                <w:rFonts w:hint="eastAsia" w:ascii="宋体" w:hAnsi="宋体" w:eastAsia="宋体"/>
                <w:color w:val="000000"/>
                <w:sz w:val="21"/>
                <w:szCs w:val="21"/>
                <w:highlight w:val="none"/>
                <w:lang w:val="en-US" w:eastAsia="zh-CN"/>
              </w:rPr>
              <w:t>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9"/>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 xml:space="preserve">ISO 9001:2015认证的基本条款 </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zCs w:val="21"/>
              </w:rPr>
            </w:pP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 xml:space="preserve">是否满足生产/服务的需要且完好运行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 xml:space="preserve">是否按法规要求检测和备案要且完好运行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 xml:space="preserve">是否满足产品检测的需要                </w:t>
            </w:r>
          </w:p>
        </w:tc>
        <w:tc>
          <w:tcPr>
            <w:tcW w:w="1063" w:type="dxa"/>
            <w:shd w:val="clear" w:color="auto" w:fill="DBEEF3" w:themeFill="accent5" w:themeFillTint="32"/>
          </w:tcPr>
          <w:p>
            <w:pPr>
              <w:rPr>
                <w:rFonts w:ascii="宋体"/>
                <w:color w:val="000000"/>
                <w:szCs w:val="21"/>
              </w:rPr>
            </w:pPr>
            <w:r>
              <w:rPr>
                <w:rFonts w:hint="eastAsia" w:ascii="宋体"/>
                <w:color w:val="000000"/>
                <w:szCs w:val="21"/>
              </w:rPr>
              <w:t xml:space="preserve">■是     </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 xml:space="preserve">是否满足生产/服务的需要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pacing w:val="-10"/>
                <w:szCs w:val="21"/>
              </w:rPr>
              <w:t xml:space="preserve">产品技术标准                          </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pacing w:val="-10"/>
                <w:szCs w:val="21"/>
              </w:rPr>
              <w:t xml:space="preserve">技术要求（合同）                  </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 xml:space="preserve">是否需要型式试验                 </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 xml:space="preserve">报告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 xml:space="preserve">是否受到行政主管部门的处罚       </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 xml:space="preserve">是否因质量问题受到媒体的曝光        </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是否发生了重大质量事故/召回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是否有重大顾客投诉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设计、■关键生产</w:t>
            </w:r>
            <w:r>
              <w:rPr>
                <w:rFonts w:ascii="宋体" w:hAnsi="宋体"/>
                <w:b/>
                <w:color w:val="000000"/>
                <w:sz w:val="20"/>
                <w:szCs w:val="20"/>
              </w:rPr>
              <w:t>/</w:t>
            </w:r>
            <w:r>
              <w:rPr>
                <w:rFonts w:hint="eastAsia" w:ascii="宋体" w:hAnsi="宋体"/>
                <w:b/>
                <w:color w:val="000000"/>
                <w:sz w:val="20"/>
                <w:szCs w:val="20"/>
              </w:rPr>
              <w:t>服务、■检验、</w:t>
            </w:r>
            <w:r>
              <w:rPr>
                <w:rFonts w:hint="eastAsia" w:ascii="宋体" w:hAnsi="宋体"/>
                <w:color w:val="000000"/>
                <w:spacing w:val="-10"/>
                <w:szCs w:val="21"/>
              </w:rPr>
              <w:t>■</w:t>
            </w:r>
            <w:r>
              <w:rPr>
                <w:rFonts w:hint="eastAsia" w:ascii="宋体" w:hAnsi="宋体"/>
                <w:b/>
                <w:color w:val="000000"/>
                <w:sz w:val="20"/>
                <w:szCs w:val="20"/>
              </w:rPr>
              <w:t>采购过程 ■生产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after="62" w:afterLines="20" w:line="360" w:lineRule="exact"/>
        <w:rPr>
          <w:rFonts w:ascii="宋体" w:hAnsi="宋体"/>
          <w:b/>
          <w:color w:val="000000"/>
          <w:spacing w:val="-2"/>
          <w:szCs w:val="21"/>
        </w:rPr>
      </w:pPr>
    </w:p>
    <w:tbl>
      <w:tblPr>
        <w:tblStyle w:val="9"/>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72" w:type="dxa"/>
            <w:gridSpan w:val="4"/>
            <w:shd w:val="clear" w:color="auto" w:fill="F3F3F3"/>
            <w:vAlign w:val="center"/>
          </w:tcPr>
          <w:p>
            <w:pPr>
              <w:spacing w:before="40" w:after="40"/>
              <w:rPr>
                <w:rFonts w:eastAsia="黑体"/>
                <w:szCs w:val="21"/>
              </w:rPr>
            </w:pPr>
            <w:r>
              <w:rPr>
                <w:rFonts w:eastAsia="黑体"/>
                <w:b/>
                <w:szCs w:val="21"/>
              </w:rPr>
              <w:t xml:space="preserve">ISO 14001:2015认证的基本条款 </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72" w:type="dxa"/>
            <w:gridSpan w:val="4"/>
            <w:shd w:val="clear" w:color="auto" w:fill="92D050"/>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充分</w:t>
            </w:r>
          </w:p>
        </w:tc>
        <w:tc>
          <w:tcPr>
            <w:tcW w:w="1526"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 xml:space="preserve">（6）对特种设备是否按法规要求检测和备案且完好运行 </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 xml:space="preserve">（7）环保设施是否满足合规义务要求且完好运行 </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是否充分识别了潜在的紧急情况</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（11）</w:t>
            </w:r>
            <w:r>
              <w:rPr>
                <w:rFonts w:hint="eastAsia" w:ascii="宋体"/>
                <w:color w:val="000000"/>
                <w:szCs w:val="21"/>
              </w:rPr>
              <w:t xml:space="preserve"> 针对潜在的紧急情况是否建立了应急准备与响应预案</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 xml:space="preserve">  是否发生了紧急情况并采取了有效的控制措施</w:t>
            </w:r>
          </w:p>
        </w:tc>
        <w:tc>
          <w:tcPr>
            <w:tcW w:w="917" w:type="dxa"/>
            <w:shd w:val="clear" w:color="auto" w:fill="92D050"/>
          </w:tcPr>
          <w:p>
            <w:pPr>
              <w:rPr>
                <w:rFonts w:ascii="宋体"/>
                <w:color w:val="000000"/>
                <w:spacing w:val="-10"/>
                <w:szCs w:val="21"/>
              </w:rPr>
            </w:pP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eastAsia="宋体" w:cs="宋体"/>
                <w:color w:val="00000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（13）</w:t>
            </w:r>
            <w:r>
              <w:rPr>
                <w:rFonts w:hint="eastAsia" w:ascii="宋体"/>
                <w:color w:val="000000"/>
                <w:szCs w:val="21"/>
              </w:rPr>
              <w:t xml:space="preserve"> 是否对不符合进行了充分的整改并防止重复发生。</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环境管理体系认证范围内的合规性证据</w:t>
            </w:r>
          </w:p>
        </w:tc>
        <w:tc>
          <w:tcPr>
            <w:tcW w:w="6241" w:type="dxa"/>
            <w:shd w:val="clear" w:color="auto" w:fill="92D050"/>
          </w:tcPr>
          <w:p>
            <w:pPr>
              <w:rPr>
                <w:rFonts w:ascii="宋体"/>
                <w:color w:val="000000"/>
                <w:szCs w:val="21"/>
              </w:rPr>
            </w:pPr>
            <w:r>
              <w:rPr>
                <w:rFonts w:hint="eastAsia" w:ascii="宋体"/>
                <w:color w:val="000000"/>
                <w:szCs w:val="21"/>
              </w:rPr>
              <w:t xml:space="preserve">是否按法规办理了环境影响评价登记表/报告表/报告书  </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是否按法规办理了环境影响评价报告表/报告书的批复</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 xml:space="preserve">是否按法规办理了环境影响评价报告表/报告书的验收                    </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环境影响评价的结果与企业申请认证范围是否一致</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 xml:space="preserve">是否按法规办理了《排污许可证》                    </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 xml:space="preserve">是否提供近期环境监测报告                  </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1" w:type="dxa"/>
            <w:shd w:val="clear" w:color="auto" w:fill="92D050"/>
          </w:tcPr>
          <w:p>
            <w:pPr>
              <w:rPr>
                <w:rFonts w:ascii="宋体"/>
                <w:color w:val="000000"/>
                <w:szCs w:val="21"/>
              </w:rPr>
            </w:pPr>
            <w:r>
              <w:rPr>
                <w:rFonts w:hint="eastAsia" w:ascii="宋体"/>
                <w:color w:val="000000"/>
                <w:szCs w:val="21"/>
              </w:rPr>
              <w:t>是否受到环保主管部门的处罚</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是否因环保问题受到媒体的曝光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 xml:space="preserve">投诉 </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shd w:val="clear" w:color="auto" w:fill="92D050"/>
          </w:tcPr>
          <w:p>
            <w:pPr>
              <w:rPr>
                <w:rFonts w:ascii="宋体"/>
                <w:color w:val="000000"/>
                <w:spacing w:val="-10"/>
                <w:szCs w:val="21"/>
              </w:rPr>
            </w:pPr>
            <w:r>
              <w:rPr>
                <w:rFonts w:hint="eastAsia" w:ascii="宋体"/>
                <w:color w:val="000000"/>
                <w:spacing w:val="-10"/>
                <w:szCs w:val="21"/>
              </w:rPr>
              <w:t>环境管理体系重点关注</w:t>
            </w:r>
          </w:p>
          <w:p>
            <w:pPr>
              <w:rPr>
                <w:rFonts w:ascii="宋体"/>
                <w:color w:val="000000"/>
                <w:spacing w:val="-10"/>
                <w:szCs w:val="21"/>
              </w:rPr>
            </w:pPr>
          </w:p>
        </w:tc>
        <w:tc>
          <w:tcPr>
            <w:tcW w:w="8684" w:type="dxa"/>
            <w:gridSpan w:val="3"/>
            <w:shd w:val="clear" w:color="auto" w:fill="92D050"/>
          </w:tcPr>
          <w:p>
            <w:pPr>
              <w:rPr>
                <w:rFonts w:ascii="宋体"/>
                <w:color w:val="000000"/>
                <w:spacing w:val="-10"/>
                <w:szCs w:val="21"/>
              </w:rPr>
            </w:pPr>
            <w:r>
              <w:rPr>
                <w:rFonts w:hint="eastAsia" w:ascii="宋体"/>
                <w:color w:val="000000"/>
                <w:spacing w:val="-10"/>
                <w:szCs w:val="21"/>
              </w:rPr>
              <w:t>■环境主管部门、□动力装置场所、□危险化学品仓库、□污染物治疗设施、□危废堆放场所，■作业现场，包括周边境况</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ind w:firstLine="207" w:firstLineChars="100"/>
        <w:rPr>
          <w:rFonts w:hint="eastAsia" w:ascii="宋体" w:hAnsi="宋体"/>
          <w:b/>
          <w:color w:val="000000"/>
          <w:spacing w:val="-2"/>
          <w:szCs w:val="21"/>
        </w:rPr>
      </w:pPr>
    </w:p>
    <w:tbl>
      <w:tblPr>
        <w:tblStyle w:val="9"/>
        <w:tblpPr w:leftFromText="180" w:rightFromText="180" w:vertAnchor="text" w:horzAnchor="page" w:tblpX="1146" w:tblpY="418"/>
        <w:tblOverlap w:val="never"/>
        <w:tblW w:w="97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335"/>
        <w:gridCol w:w="5626"/>
        <w:gridCol w:w="1003"/>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54" w:type="dxa"/>
            <w:gridSpan w:val="4"/>
            <w:shd w:val="clear" w:color="auto" w:fill="F3F3F3"/>
            <w:vAlign w:val="center"/>
          </w:tcPr>
          <w:p>
            <w:pPr>
              <w:spacing w:before="40" w:after="40"/>
              <w:rPr>
                <w:rFonts w:eastAsia="黑体"/>
                <w:szCs w:val="21"/>
              </w:rPr>
            </w:pPr>
            <w:r>
              <w:rPr>
                <w:rFonts w:eastAsia="黑体"/>
                <w:b/>
                <w:szCs w:val="21"/>
              </w:rPr>
              <w:t xml:space="preserve"> OHSAS 18001:2007</w:t>
            </w:r>
            <w:r>
              <w:rPr>
                <w:rFonts w:hint="eastAsia" w:eastAsia="黑体"/>
                <w:b/>
                <w:szCs w:val="21"/>
              </w:rPr>
              <w:t>/</w:t>
            </w:r>
            <w:r>
              <w:rPr>
                <w:rFonts w:eastAsia="黑体"/>
                <w:b/>
                <w:szCs w:val="21"/>
              </w:rPr>
              <w:t>ISO 45001</w:t>
            </w:r>
            <w:r>
              <w:rPr>
                <w:rFonts w:hint="eastAsia" w:eastAsia="黑体"/>
                <w:b/>
                <w:szCs w:val="21"/>
              </w:rPr>
              <w:t>:2018</w:t>
            </w:r>
            <w:r>
              <w:rPr>
                <w:rFonts w:eastAsia="黑体"/>
                <w:b/>
                <w:szCs w:val="21"/>
              </w:rPr>
              <w:t xml:space="preserve">认证的基本条款 </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trPr>
        <w:tc>
          <w:tcPr>
            <w:tcW w:w="9754" w:type="dxa"/>
            <w:gridSpan w:val="4"/>
            <w:shd w:val="clear" w:color="auto" w:fill="FFFF00"/>
          </w:tcPr>
          <w:p>
            <w:pPr>
              <w:rPr>
                <w:rFonts w:ascii="宋体"/>
                <w:b/>
                <w:color w:val="000000"/>
                <w:szCs w:val="21"/>
              </w:rPr>
            </w:pPr>
            <w:r>
              <w:rPr>
                <w:rFonts w:hint="eastAsia" w:ascii="宋体" w:hAnsi="宋体"/>
                <w:b/>
                <w:color w:val="000000"/>
                <w:szCs w:val="21"/>
              </w:rPr>
              <w:t>危险源辨识、风险评价及风险控制措施策划（</w:t>
            </w:r>
            <w:r>
              <w:rPr>
                <w:rFonts w:ascii="宋体" w:hAnsi="宋体"/>
                <w:b/>
                <w:color w:val="000000"/>
                <w:szCs w:val="21"/>
              </w:rPr>
              <w:t>OHS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）是否明确了职业健康安全管理体系的覆盖范围</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）是否建立和实施了员工参与和协商的控制措施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）危险源辨识是否充分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充分</w:t>
            </w:r>
          </w:p>
        </w:tc>
        <w:tc>
          <w:tcPr>
            <w:tcW w:w="1790"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trPr>
        <w:tc>
          <w:tcPr>
            <w:tcW w:w="6961" w:type="dxa"/>
            <w:gridSpan w:val="2"/>
            <w:shd w:val="clear" w:color="auto" w:fill="FFFF00"/>
          </w:tcPr>
          <w:p>
            <w:pPr>
              <w:rPr>
                <w:rFonts w:ascii="宋体"/>
                <w:color w:val="000000"/>
                <w:szCs w:val="21"/>
              </w:rPr>
            </w:pPr>
            <w:r>
              <w:rPr>
                <w:rFonts w:hint="eastAsia" w:ascii="宋体" w:hAnsi="宋体"/>
                <w:color w:val="000000"/>
                <w:szCs w:val="21"/>
              </w:rPr>
              <w:t>（4）是否明确了风险评价的方法和风险确定的准则</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）风险评价是否合理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）是否建立和实施了不可接受风险的控制措施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 xml:space="preserve">（7）对特种设备是否按法规要求检测和备案且完好运行 </w:t>
            </w:r>
          </w:p>
        </w:tc>
        <w:tc>
          <w:tcPr>
            <w:tcW w:w="1003" w:type="dxa"/>
            <w:shd w:val="clear" w:color="auto" w:fill="FFFF00"/>
          </w:tcPr>
          <w:p>
            <w:pPr>
              <w:rPr>
                <w:rFonts w:ascii="宋体" w:hAnsi="宋体"/>
                <w:color w:val="000000"/>
                <w:szCs w:val="21"/>
              </w:rPr>
            </w:pPr>
            <w:r>
              <w:rPr>
                <w:rFonts w:hint="eastAsia" w:ascii="宋体" w:hAnsi="宋体"/>
                <w:color w:val="000000"/>
                <w:szCs w:val="21"/>
              </w:rPr>
              <w:t>■是</w:t>
            </w:r>
          </w:p>
        </w:tc>
        <w:tc>
          <w:tcPr>
            <w:tcW w:w="1790" w:type="dxa"/>
            <w:shd w:val="clear" w:color="auto" w:fill="FFFF00"/>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 xml:space="preserve">（8）安全装置是否满足合规义务要求且完好运行 </w:t>
            </w:r>
          </w:p>
        </w:tc>
        <w:tc>
          <w:tcPr>
            <w:tcW w:w="1003" w:type="dxa"/>
            <w:shd w:val="clear" w:color="auto" w:fill="FFFF00"/>
          </w:tcPr>
          <w:p>
            <w:pPr>
              <w:rPr>
                <w:rFonts w:ascii="宋体" w:hAnsi="宋体"/>
                <w:color w:val="000000"/>
                <w:szCs w:val="21"/>
              </w:rPr>
            </w:pPr>
            <w:r>
              <w:rPr>
                <w:rFonts w:hint="eastAsia" w:ascii="宋体" w:hAnsi="宋体"/>
                <w:color w:val="000000"/>
                <w:szCs w:val="21"/>
              </w:rPr>
              <w:t>■是</w:t>
            </w:r>
          </w:p>
        </w:tc>
        <w:tc>
          <w:tcPr>
            <w:tcW w:w="1790" w:type="dxa"/>
            <w:shd w:val="clear" w:color="auto" w:fill="FFFF00"/>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（9）</w:t>
            </w:r>
            <w:r>
              <w:rPr>
                <w:rFonts w:hint="eastAsia" w:ascii="宋体"/>
                <w:color w:val="000000"/>
                <w:szCs w:val="21"/>
              </w:rPr>
              <w:t>针对不可接受风险是否明确了监视和测量的要求</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是否充分识别了法律法规和其他要求并进行了合规性评价</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（11）是否建立和实施了三级安全教育的控制措施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（12）</w:t>
            </w:r>
            <w:r>
              <w:rPr>
                <w:rFonts w:hint="eastAsia" w:ascii="宋体"/>
                <w:color w:val="000000"/>
                <w:szCs w:val="21"/>
              </w:rPr>
              <w:t xml:space="preserve"> 是否充分识别了潜在的紧急情况</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（13）</w:t>
            </w:r>
            <w:r>
              <w:rPr>
                <w:rFonts w:hint="eastAsia" w:ascii="宋体"/>
                <w:color w:val="000000"/>
                <w:szCs w:val="21"/>
              </w:rPr>
              <w:t xml:space="preserve"> 针对潜在的紧急情况是否建立了应急准备与响应预案</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（14）</w:t>
            </w:r>
            <w:r>
              <w:rPr>
                <w:rFonts w:hint="eastAsia" w:ascii="宋体"/>
                <w:color w:val="000000"/>
                <w:szCs w:val="21"/>
              </w:rPr>
              <w:t xml:space="preserve"> 是否发生了紧急情况并采取了有效的控制措施</w:t>
            </w:r>
          </w:p>
        </w:tc>
        <w:tc>
          <w:tcPr>
            <w:tcW w:w="1003" w:type="dxa"/>
            <w:shd w:val="clear" w:color="auto" w:fill="FFFF00"/>
          </w:tcPr>
          <w:p>
            <w:pPr>
              <w:rPr>
                <w:rFonts w:ascii="宋体"/>
                <w:color w:val="000000"/>
                <w:spacing w:val="-10"/>
                <w:szCs w:val="21"/>
              </w:rPr>
            </w:pP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eastAsia="宋体" w:cs="宋体"/>
                <w:color w:val="00000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（15）</w:t>
            </w:r>
            <w:r>
              <w:rPr>
                <w:rFonts w:hint="eastAsia" w:ascii="宋体"/>
                <w:color w:val="000000"/>
                <w:szCs w:val="21"/>
              </w:rPr>
              <w:t xml:space="preserve"> 是否对事件、不符合进行了充分的整改并防止重复发生</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trPr>
        <w:tc>
          <w:tcPr>
            <w:tcW w:w="1335" w:type="dxa"/>
            <w:vMerge w:val="restart"/>
            <w:shd w:val="clear" w:color="auto" w:fill="FFFF00"/>
            <w:vAlign w:val="center"/>
          </w:tcPr>
          <w:p>
            <w:pPr>
              <w:ind w:left="-1" w:leftChars="-1" w:hanging="1"/>
              <w:jc w:val="left"/>
              <w:rPr>
                <w:rFonts w:ascii="宋体"/>
                <w:color w:val="000000"/>
                <w:szCs w:val="21"/>
              </w:rPr>
            </w:pPr>
            <w:r>
              <w:rPr>
                <w:rFonts w:hint="eastAsia" w:ascii="宋体" w:hAnsi="宋体"/>
                <w:color w:val="000000"/>
                <w:szCs w:val="21"/>
              </w:rPr>
              <w:t>受审核方职业健康安全管理体系认证范围内的合规性证据</w:t>
            </w:r>
          </w:p>
        </w:tc>
        <w:tc>
          <w:tcPr>
            <w:tcW w:w="5626" w:type="dxa"/>
            <w:shd w:val="clear" w:color="auto" w:fill="FFFF00"/>
          </w:tcPr>
          <w:p>
            <w:pPr>
              <w:rPr>
                <w:rFonts w:ascii="宋体"/>
                <w:color w:val="000000"/>
                <w:szCs w:val="21"/>
              </w:rPr>
            </w:pPr>
            <w:r>
              <w:rPr>
                <w:rFonts w:hint="eastAsia" w:ascii="宋体"/>
                <w:color w:val="000000"/>
                <w:szCs w:val="21"/>
              </w:rPr>
              <w:t>是否有安全预评价/现状评价报告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是否有职业健康预评估/现状评价报告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是否有消防验收报告/备案登记</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 xml:space="preserve">是否提供近一年的作业场所有害物质监测报告                  </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 xml:space="preserve">是否提供近一年的职业健康体检报告                  </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trPr>
        <w:tc>
          <w:tcPr>
            <w:tcW w:w="1335" w:type="dxa"/>
            <w:vMerge w:val="restart"/>
            <w:shd w:val="clear" w:color="auto" w:fill="FFFF00"/>
          </w:tcPr>
          <w:p>
            <w:pPr>
              <w:rPr>
                <w:rFonts w:ascii="宋体"/>
                <w:color w:val="000000"/>
                <w:spacing w:val="-10"/>
                <w:szCs w:val="21"/>
              </w:rPr>
            </w:pPr>
            <w:r>
              <w:rPr>
                <w:rFonts w:hint="eastAsia" w:ascii="宋体"/>
                <w:color w:val="000000"/>
                <w:spacing w:val="-10"/>
                <w:szCs w:val="21"/>
              </w:rPr>
              <w:t>职业健康安全处罚、曝光和投诉</w:t>
            </w:r>
          </w:p>
        </w:tc>
        <w:tc>
          <w:tcPr>
            <w:tcW w:w="5626" w:type="dxa"/>
            <w:shd w:val="clear" w:color="auto" w:fill="FFFF00"/>
          </w:tcPr>
          <w:p>
            <w:pPr>
              <w:rPr>
                <w:rFonts w:ascii="宋体"/>
                <w:color w:val="000000"/>
                <w:szCs w:val="21"/>
              </w:rPr>
            </w:pPr>
            <w:r>
              <w:rPr>
                <w:rFonts w:hint="eastAsia" w:ascii="宋体"/>
                <w:color w:val="000000"/>
                <w:szCs w:val="21"/>
              </w:rPr>
              <w:t>是否受到安监主管部门的处罚</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color w:val="000000"/>
                <w:szCs w:val="21"/>
              </w:rPr>
              <w:t>是否因</w:t>
            </w:r>
            <w:r>
              <w:rPr>
                <w:rFonts w:hint="eastAsia" w:ascii="宋体"/>
                <w:color w:val="000000"/>
                <w:spacing w:val="-10"/>
                <w:szCs w:val="21"/>
              </w:rPr>
              <w:t>职业健康</w:t>
            </w:r>
            <w:r>
              <w:rPr>
                <w:rFonts w:hint="eastAsia" w:ascii="宋体"/>
                <w:color w:val="000000"/>
                <w:szCs w:val="21"/>
              </w:rPr>
              <w:t>安全问题受到媒体的曝光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是否发生了重大的安全、工伤</w:t>
            </w:r>
            <w:r>
              <w:rPr>
                <w:rFonts w:hint="eastAsia" w:ascii="宋体"/>
                <w:color w:val="000000"/>
                <w:szCs w:val="21"/>
              </w:rPr>
              <w:t>和职业病</w:t>
            </w:r>
            <w:r>
              <w:rPr>
                <w:rFonts w:hint="eastAsia" w:ascii="宋体" w:hAnsi="宋体"/>
                <w:color w:val="000000"/>
                <w:szCs w:val="21"/>
              </w:rPr>
              <w:t>事故</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是否有相关方</w:t>
            </w:r>
            <w:r>
              <w:rPr>
                <w:rFonts w:hint="eastAsia" w:ascii="宋体"/>
                <w:color w:val="000000"/>
                <w:spacing w:val="-10"/>
                <w:szCs w:val="21"/>
              </w:rPr>
              <w:t>职业健康</w:t>
            </w:r>
            <w:r>
              <w:rPr>
                <w:rFonts w:hint="eastAsia" w:ascii="宋体"/>
                <w:color w:val="000000"/>
                <w:szCs w:val="21"/>
              </w:rPr>
              <w:t>安全方面的</w:t>
            </w:r>
            <w:r>
              <w:rPr>
                <w:rFonts w:hint="eastAsia" w:ascii="宋体" w:hAnsi="宋体"/>
                <w:color w:val="000000"/>
                <w:szCs w:val="21"/>
              </w:rPr>
              <w:t xml:space="preserve">重大投诉 </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trPr>
        <w:tc>
          <w:tcPr>
            <w:tcW w:w="1335" w:type="dxa"/>
            <w:shd w:val="clear" w:color="auto" w:fill="FFFF00"/>
          </w:tcPr>
          <w:p>
            <w:pPr>
              <w:rPr>
                <w:rFonts w:ascii="宋体"/>
                <w:color w:val="000000"/>
                <w:spacing w:val="-10"/>
                <w:szCs w:val="21"/>
              </w:rPr>
            </w:pPr>
            <w:r>
              <w:rPr>
                <w:rFonts w:hint="eastAsia" w:ascii="宋体"/>
                <w:color w:val="000000"/>
                <w:spacing w:val="-10"/>
                <w:szCs w:val="21"/>
              </w:rPr>
              <w:t>职业健康安全管理体系重点关注</w:t>
            </w:r>
          </w:p>
        </w:tc>
        <w:tc>
          <w:tcPr>
            <w:tcW w:w="8419" w:type="dxa"/>
            <w:gridSpan w:val="3"/>
            <w:shd w:val="clear" w:color="auto" w:fill="FFFF00"/>
          </w:tcPr>
          <w:p>
            <w:pPr>
              <w:rPr>
                <w:rFonts w:ascii="宋体"/>
                <w:color w:val="000000"/>
                <w:spacing w:val="-10"/>
                <w:szCs w:val="21"/>
              </w:rPr>
            </w:pPr>
            <w:r>
              <w:rPr>
                <w:rFonts w:hint="eastAsia" w:ascii="宋体"/>
                <w:color w:val="000000"/>
                <w:spacing w:val="-10"/>
                <w:szCs w:val="21"/>
              </w:rPr>
              <w:t>■安全和职业健康主管部门、</w:t>
            </w:r>
            <w:r>
              <w:rPr>
                <w:rFonts w:hint="eastAsia" w:ascii="宋体" w:hAnsi="宋体" w:eastAsia="宋体" w:cs="宋体"/>
                <w:color w:val="000000"/>
                <w:spacing w:val="-10"/>
                <w:szCs w:val="21"/>
              </w:rPr>
              <w:t>■</w:t>
            </w:r>
            <w:r>
              <w:rPr>
                <w:rFonts w:hint="eastAsia" w:ascii="宋体"/>
                <w:color w:val="000000"/>
                <w:spacing w:val="-10"/>
                <w:szCs w:val="21"/>
              </w:rPr>
              <w:t>职业危害场所、□高风险作业场所，□危险化学品仓库，包括周边境况。</w:t>
            </w:r>
          </w:p>
          <w:p>
            <w:pPr>
              <w:rPr>
                <w:rFonts w:ascii="宋体"/>
                <w:color w:val="000000"/>
                <w:spacing w:val="-10"/>
                <w:szCs w:val="21"/>
              </w:rPr>
            </w:pPr>
            <w:r>
              <w:rPr>
                <w:rFonts w:hint="eastAsia" w:ascii="宋体"/>
                <w:color w:val="000000"/>
                <w:spacing w:val="-10"/>
                <w:szCs w:val="21"/>
              </w:rPr>
              <w:t>其他：</w:t>
            </w:r>
          </w:p>
        </w:tc>
      </w:tr>
    </w:tbl>
    <w:p>
      <w:pPr>
        <w:pStyle w:val="12"/>
        <w:rPr>
          <w:rFonts w:hint="eastAsia"/>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9"/>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vAlign w:val="top"/>
          </w:tcPr>
          <w:p>
            <w:pPr>
              <w:spacing w:line="360" w:lineRule="auto"/>
              <w:rPr>
                <w:rFonts w:ascii="宋体"/>
                <w:b/>
                <w:color w:val="000000"/>
                <w:szCs w:val="21"/>
                <w:u w:val="single"/>
              </w:rPr>
            </w:pPr>
            <w:r>
              <w:rPr>
                <w:rFonts w:hint="eastAsia" w:ascii="宋体" w:hAnsi="宋体" w:eastAsia="宋体" w:cs="宋体"/>
                <w:b/>
                <w:color w:val="000000"/>
                <w:szCs w:val="21"/>
              </w:rPr>
              <w:t>■</w:t>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eastAsia="宋体" w:cs="Times New Roman"/>
                <w:b/>
                <w:color w:val="000000"/>
                <w:kern w:val="2"/>
                <w:sz w:val="21"/>
                <w:szCs w:val="21"/>
                <w:lang w:val="en-US" w:eastAsia="zh-CN" w:bidi="ar-SA"/>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vAlign w:val="top"/>
          </w:tcPr>
          <w:p>
            <w:pPr>
              <w:spacing w:line="360" w:lineRule="auto"/>
              <w:rPr>
                <w:rFonts w:hint="default" w:ascii="宋体" w:hAnsi="Times New Roman" w:eastAsia="宋体" w:cs="Times New Roman"/>
                <w:b/>
                <w:color w:val="000000"/>
                <w:kern w:val="2"/>
                <w:sz w:val="21"/>
                <w:szCs w:val="21"/>
                <w:lang w:val="en-US" w:eastAsia="zh-CN" w:bidi="ar-SA"/>
              </w:rPr>
            </w:pPr>
            <w:r>
              <w:rPr>
                <w:rFonts w:hint="eastAsia" w:ascii="宋体" w:cs="Times New Roman"/>
                <w:b/>
                <w:color w:val="000000"/>
                <w:kern w:val="2"/>
                <w:sz w:val="21"/>
                <w:szCs w:val="21"/>
                <w:lang w:val="en-US" w:eastAsia="zh-CN" w:bidi="ar-SA"/>
              </w:rPr>
              <w:t>不适用</w:t>
            </w:r>
            <w:bookmarkStart w:id="30" w:name="_GoBack"/>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vAlign w:val="top"/>
          </w:tcPr>
          <w:p>
            <w:pPr>
              <w:spacing w:line="360" w:lineRule="auto"/>
              <w:rPr>
                <w:rFonts w:ascii="宋体"/>
                <w:b/>
                <w:color w:val="000000"/>
                <w:szCs w:val="21"/>
              </w:rPr>
            </w:pPr>
            <w:r>
              <w:rPr>
                <w:rFonts w:hint="eastAsia" w:ascii="宋体" w:hAnsi="宋体" w:eastAsia="宋体" w:cs="宋体"/>
                <w:b/>
                <w:color w:val="000000"/>
                <w:szCs w:val="21"/>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eastAsia="宋体" w:cs="Times New Roman"/>
                <w:b/>
                <w:color w:val="000000"/>
                <w:kern w:val="2"/>
                <w:sz w:val="21"/>
                <w:szCs w:val="21"/>
                <w:lang w:val="en-US" w:eastAsia="zh-CN" w:bidi="ar-SA"/>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rPr>
              <w:t>初步定于</w:t>
            </w:r>
            <w:bookmarkStart w:id="29" w:name="二阶段审核日期"/>
            <w:r>
              <w:rPr>
                <w:rFonts w:hint="eastAsia" w:ascii="宋体"/>
                <w:b/>
                <w:color w:val="000000"/>
                <w:szCs w:val="21"/>
              </w:rPr>
              <w:t>2022-04-</w:t>
            </w:r>
            <w:bookmarkEnd w:id="29"/>
            <w:r>
              <w:rPr>
                <w:rFonts w:hint="eastAsia" w:ascii="宋体"/>
                <w:b/>
                <w:color w:val="000000"/>
                <w:szCs w:val="21"/>
                <w:lang w:val="en-US" w:eastAsia="zh-CN"/>
              </w:rPr>
              <w:t>10</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9"/>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vAlign w:val="top"/>
          </w:tcPr>
          <w:p>
            <w:pPr>
              <w:widowControl/>
              <w:jc w:val="left"/>
              <w:rPr>
                <w:rFonts w:ascii="宋体"/>
                <w:b/>
                <w:color w:val="000000"/>
                <w:szCs w:val="21"/>
              </w:rPr>
            </w:pPr>
          </w:p>
        </w:tc>
        <w:tc>
          <w:tcPr>
            <w:tcW w:w="708" w:type="dxa"/>
            <w:vAlign w:val="top"/>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vAlign w:val="top"/>
          </w:tcPr>
          <w:p>
            <w:pPr>
              <w:rPr>
                <w:rFonts w:ascii="宋体"/>
                <w:color w:val="000000"/>
                <w:szCs w:val="21"/>
              </w:rPr>
            </w:pPr>
            <w:r>
              <w:rPr>
                <w:rFonts w:hint="eastAsia" w:ascii="宋体" w:hAnsi="宋体"/>
                <w:color w:val="000000"/>
                <w:szCs w:val="21"/>
              </w:rPr>
              <w:t>■是</w:t>
            </w:r>
          </w:p>
        </w:tc>
        <w:tc>
          <w:tcPr>
            <w:tcW w:w="708" w:type="dxa"/>
            <w:vAlign w:val="top"/>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vAlign w:val="top"/>
          </w:tcPr>
          <w:p>
            <w:pPr>
              <w:rPr>
                <w:rFonts w:ascii="宋体"/>
                <w:color w:val="000000"/>
                <w:szCs w:val="21"/>
              </w:rPr>
            </w:pPr>
            <w:r>
              <w:rPr>
                <w:rFonts w:hint="eastAsia" w:ascii="宋体" w:hAnsi="宋体"/>
                <w:color w:val="000000"/>
                <w:szCs w:val="21"/>
              </w:rPr>
              <w:t>■是</w:t>
            </w:r>
          </w:p>
        </w:tc>
        <w:tc>
          <w:tcPr>
            <w:tcW w:w="708" w:type="dxa"/>
            <w:vAlign w:val="top"/>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vAlign w:val="top"/>
          </w:tcPr>
          <w:p>
            <w:pPr>
              <w:rPr>
                <w:rFonts w:ascii="宋体"/>
                <w:color w:val="000000"/>
                <w:szCs w:val="21"/>
              </w:rPr>
            </w:pPr>
            <w:r>
              <w:rPr>
                <w:rFonts w:hint="eastAsia" w:ascii="宋体" w:hAnsi="宋体"/>
                <w:color w:val="000000"/>
                <w:szCs w:val="21"/>
              </w:rPr>
              <w:t>■是</w:t>
            </w:r>
          </w:p>
        </w:tc>
        <w:tc>
          <w:tcPr>
            <w:tcW w:w="708" w:type="dxa"/>
            <w:vAlign w:val="top"/>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vAlign w:val="top"/>
          </w:tcPr>
          <w:p>
            <w:pPr>
              <w:rPr>
                <w:rFonts w:ascii="宋体"/>
                <w:color w:val="000000"/>
                <w:szCs w:val="21"/>
              </w:rPr>
            </w:pPr>
            <w:r>
              <w:rPr>
                <w:rFonts w:hint="eastAsia" w:ascii="宋体" w:hAnsi="宋体"/>
                <w:color w:val="000000"/>
                <w:szCs w:val="21"/>
              </w:rPr>
              <w:t>■是</w:t>
            </w:r>
          </w:p>
        </w:tc>
        <w:tc>
          <w:tcPr>
            <w:tcW w:w="708" w:type="dxa"/>
            <w:vAlign w:val="top"/>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vAlign w:val="top"/>
          </w:tcPr>
          <w:p>
            <w:pPr>
              <w:rPr>
                <w:rFonts w:ascii="宋体"/>
                <w:color w:val="000000"/>
                <w:szCs w:val="21"/>
              </w:rPr>
            </w:pPr>
            <w:r>
              <w:rPr>
                <w:rFonts w:hint="eastAsia" w:ascii="宋体" w:hAnsi="宋体"/>
                <w:color w:val="000000"/>
                <w:szCs w:val="21"/>
              </w:rPr>
              <w:t>■是</w:t>
            </w:r>
          </w:p>
        </w:tc>
        <w:tc>
          <w:tcPr>
            <w:tcW w:w="708" w:type="dxa"/>
            <w:vAlign w:val="top"/>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vAlign w:val="top"/>
          </w:tcPr>
          <w:p>
            <w:pPr>
              <w:rPr>
                <w:rFonts w:ascii="宋体"/>
                <w:color w:val="000000"/>
                <w:szCs w:val="21"/>
              </w:rPr>
            </w:pPr>
            <w:r>
              <w:rPr>
                <w:rFonts w:hint="eastAsia" w:ascii="宋体" w:hAnsi="宋体"/>
                <w:color w:val="000000"/>
                <w:szCs w:val="21"/>
              </w:rPr>
              <w:t>■是</w:t>
            </w:r>
          </w:p>
        </w:tc>
        <w:tc>
          <w:tcPr>
            <w:tcW w:w="708" w:type="dxa"/>
            <w:vAlign w:val="top"/>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vAlign w:val="top"/>
          </w:tcPr>
          <w:p>
            <w:pPr>
              <w:rPr>
                <w:rFonts w:ascii="宋体"/>
                <w:color w:val="000000"/>
                <w:szCs w:val="21"/>
              </w:rPr>
            </w:pPr>
            <w:r>
              <w:rPr>
                <w:rFonts w:hint="eastAsia" w:ascii="宋体" w:hAnsi="宋体"/>
                <w:color w:val="000000"/>
                <w:szCs w:val="21"/>
              </w:rPr>
              <w:t>■是</w:t>
            </w:r>
          </w:p>
        </w:tc>
        <w:tc>
          <w:tcPr>
            <w:tcW w:w="708" w:type="dxa"/>
            <w:vAlign w:val="top"/>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9"/>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vAlign w:val="top"/>
          </w:tcPr>
          <w:p>
            <w:pPr>
              <w:spacing w:line="280" w:lineRule="exact"/>
              <w:ind w:left="316" w:leftChars="0" w:hanging="316" w:hangingChars="150"/>
              <w:rPr>
                <w:rFonts w:ascii="宋体"/>
                <w:b/>
                <w:color w:val="000000"/>
                <w:szCs w:val="21"/>
              </w:rPr>
            </w:pPr>
            <w:r>
              <w:rPr>
                <w:rFonts w:hint="eastAsia" w:ascii="宋体" w:hAnsi="宋体"/>
                <w:b/>
                <w:color w:val="000000" w:themeColor="text1"/>
                <w:szCs w:val="21"/>
              </w:rPr>
              <w:t>受审核组织</w:t>
            </w:r>
            <w:r>
              <w:rPr>
                <w:rFonts w:ascii="宋体" w:hAnsi="宋体"/>
                <w:b/>
                <w:color w:val="000000" w:themeColor="text1"/>
                <w:szCs w:val="21"/>
              </w:rPr>
              <w:t>(</w:t>
            </w:r>
            <w:r>
              <w:rPr>
                <w:rFonts w:hint="eastAsia" w:ascii="宋体" w:hAnsi="宋体"/>
                <w:b/>
                <w:color w:val="000000" w:themeColor="text1"/>
                <w:spacing w:val="-10"/>
                <w:szCs w:val="21"/>
                <w:lang w:val="de-DE"/>
              </w:rPr>
              <w:t>■</w:t>
            </w:r>
            <w:r>
              <w:rPr>
                <w:rFonts w:ascii="宋体" w:hAnsi="宋体"/>
                <w:b/>
                <w:color w:val="000000" w:themeColor="text1"/>
                <w:szCs w:val="21"/>
              </w:rPr>
              <w:t>QMS/</w:t>
            </w:r>
            <w:r>
              <w:rPr>
                <w:rFonts w:hint="eastAsia" w:ascii="宋体" w:hAnsi="宋体"/>
                <w:b/>
                <w:color w:val="000000" w:themeColor="text1"/>
                <w:spacing w:val="-10"/>
                <w:szCs w:val="21"/>
                <w:lang w:val="de-DE"/>
              </w:rPr>
              <w:t>□5</w:t>
            </w:r>
            <w:r>
              <w:rPr>
                <w:rFonts w:ascii="宋体" w:hAnsi="宋体"/>
                <w:b/>
                <w:color w:val="000000" w:themeColor="text1"/>
                <w:spacing w:val="-10"/>
                <w:szCs w:val="21"/>
                <w:lang w:val="de-DE"/>
              </w:rPr>
              <w:t>0430</w:t>
            </w:r>
            <w:r>
              <w:rPr>
                <w:rFonts w:ascii="宋体" w:hAnsi="宋体"/>
                <w:b/>
                <w:color w:val="000000" w:themeColor="text1"/>
                <w:szCs w:val="21"/>
              </w:rPr>
              <w:t xml:space="preserve"> /</w:t>
            </w:r>
            <w:r>
              <w:rPr>
                <w:rFonts w:hint="eastAsia" w:ascii="宋体" w:hAnsi="宋体"/>
                <w:b/>
                <w:color w:val="000000" w:themeColor="text1"/>
                <w:szCs w:val="21"/>
              </w:rPr>
              <w:t>■</w:t>
            </w:r>
            <w:r>
              <w:rPr>
                <w:rFonts w:ascii="宋体" w:hAnsi="宋体"/>
                <w:b/>
                <w:color w:val="000000" w:themeColor="text1"/>
                <w:szCs w:val="21"/>
              </w:rPr>
              <w:t>EMS/</w:t>
            </w:r>
            <w:r>
              <w:rPr>
                <w:rFonts w:hint="eastAsia" w:ascii="宋体" w:hAnsi="宋体"/>
                <w:b/>
                <w:color w:val="000000" w:themeColor="text1"/>
                <w:szCs w:val="21"/>
              </w:rPr>
              <w:t>■</w:t>
            </w:r>
            <w:r>
              <w:rPr>
                <w:rFonts w:ascii="宋体" w:hAnsi="宋体"/>
                <w:b/>
                <w:color w:val="000000" w:themeColor="text1"/>
                <w:szCs w:val="21"/>
              </w:rPr>
              <w:t>OHSMS</w:t>
            </w:r>
            <w:r>
              <w:rPr>
                <w:rFonts w:hint="eastAsia" w:ascii="宋体" w:hAnsi="宋体"/>
                <w:b/>
                <w:color w:val="000000" w:themeColor="text1"/>
                <w:szCs w:val="21"/>
              </w:rPr>
              <w:t>/</w:t>
            </w:r>
            <w:r>
              <w:rPr>
                <w:rFonts w:hint="eastAsia" w:ascii="宋体" w:hAnsi="宋体"/>
                <w:b/>
                <w:color w:val="000000" w:themeColor="text1"/>
                <w:spacing w:val="-10"/>
                <w:szCs w:val="21"/>
                <w:lang w:val="de-DE"/>
              </w:rPr>
              <w:t>□</w:t>
            </w:r>
            <w:r>
              <w:rPr>
                <w:rFonts w:ascii="宋体" w:hAnsi="宋体"/>
                <w:b/>
                <w:color w:val="000000" w:themeColor="text1"/>
                <w:szCs w:val="21"/>
              </w:rPr>
              <w:t>EnMS)/</w:t>
            </w:r>
            <w:r>
              <w:rPr>
                <w:rFonts w:hint="eastAsia" w:ascii="宋体" w:hAnsi="宋体"/>
                <w:b/>
                <w:color w:val="000000" w:themeColor="text1"/>
                <w:spacing w:val="-10"/>
                <w:szCs w:val="21"/>
                <w:lang w:val="de-DE"/>
              </w:rPr>
              <w:t>□</w:t>
            </w:r>
            <w:r>
              <w:rPr>
                <w:rFonts w:hint="eastAsia" w:ascii="宋体" w:hAnsi="宋体"/>
                <w:b/>
                <w:color w:val="000000" w:themeColor="text1"/>
                <w:szCs w:val="21"/>
              </w:rPr>
              <w:t>FS</w:t>
            </w:r>
            <w:r>
              <w:rPr>
                <w:rFonts w:ascii="宋体" w:hAnsi="宋体"/>
                <w:b/>
                <w:color w:val="000000" w:themeColor="text1"/>
                <w:szCs w:val="21"/>
              </w:rPr>
              <w:t>MS/</w:t>
            </w:r>
            <w:r>
              <w:rPr>
                <w:rFonts w:hint="eastAsia" w:ascii="宋体" w:hAnsi="宋体"/>
                <w:b/>
                <w:color w:val="000000" w:themeColor="text1"/>
                <w:spacing w:val="-10"/>
                <w:szCs w:val="21"/>
                <w:lang w:val="de-DE"/>
              </w:rPr>
              <w:t>□</w:t>
            </w:r>
            <w:r>
              <w:rPr>
                <w:rFonts w:hint="eastAsia" w:ascii="宋体" w:hAnsi="宋体"/>
                <w:b/>
                <w:color w:val="000000" w:themeColor="text1"/>
                <w:spacing w:val="-10"/>
                <w:szCs w:val="21"/>
              </w:rPr>
              <w:t>HACCP</w:t>
            </w:r>
            <w:r>
              <w:rPr>
                <w:rFonts w:ascii="宋体" w:hAnsi="宋体"/>
                <w:b/>
                <w:color w:val="000000" w:themeColor="text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vAlign w:val="top"/>
          </w:tcPr>
          <w:p>
            <w:pPr>
              <w:spacing w:line="280" w:lineRule="exact"/>
              <w:rPr>
                <w:rFonts w:ascii="宋体" w:hAnsi="宋体"/>
                <w:b/>
                <w:color w:val="000000"/>
                <w:spacing w:val="-10"/>
                <w:szCs w:val="21"/>
              </w:rPr>
            </w:pPr>
            <w:r>
              <w:rPr>
                <w:rFonts w:hint="eastAsia" w:ascii="宋体" w:hAnsi="宋体" w:eastAsia="宋体" w:cs="宋体"/>
                <w:b/>
                <w:color w:val="000000" w:themeColor="text1"/>
                <w:spacing w:val="-10"/>
                <w:szCs w:val="21"/>
                <w:lang w:val="de-DE"/>
              </w:rPr>
              <w:t>■</w:t>
            </w:r>
            <w:r>
              <w:rPr>
                <w:rFonts w:hint="eastAsia" w:ascii="宋体" w:hAnsi="宋体"/>
                <w:b/>
                <w:color w:val="000000" w:themeColor="text1"/>
                <w:spacing w:val="-10"/>
                <w:szCs w:val="21"/>
              </w:rPr>
              <w:t>未发现任何问题</w:t>
            </w:r>
            <w:r>
              <w:rPr>
                <w:rFonts w:ascii="宋体" w:hAnsi="宋体"/>
                <w:b/>
                <w:color w:val="000000" w:themeColor="text1"/>
                <w:szCs w:val="21"/>
              </w:rPr>
              <w:t xml:space="preserve">, </w:t>
            </w:r>
            <w:r>
              <w:rPr>
                <w:rFonts w:hint="eastAsia" w:ascii="宋体" w:hAnsi="宋体"/>
                <w:b/>
                <w:color w:val="000000" w:themeColor="text1"/>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9"/>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zCs w:val="21"/>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zCs w:val="21"/>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highlight w:val="none"/>
              </w:rPr>
            </w:pPr>
            <w:r>
              <w:rPr>
                <w:rFonts w:hint="eastAsia" w:ascii="宋体" w:hAnsi="宋体" w:eastAsia="宋体" w:cs="宋体"/>
                <w:b/>
                <w:color w:val="000000"/>
                <w:spacing w:val="-10"/>
                <w:szCs w:val="21"/>
                <w:highlight w:val="none"/>
                <w:lang w:val="de-DE"/>
              </w:rPr>
              <w:t>■</w:t>
            </w:r>
            <w:r>
              <w:rPr>
                <w:rFonts w:hint="eastAsia" w:ascii="宋体" w:hAnsi="宋体"/>
                <w:b/>
                <w:color w:val="000000"/>
                <w:spacing w:val="-10"/>
                <w:szCs w:val="21"/>
                <w:highlight w:val="none"/>
              </w:rPr>
              <w:t>审核</w:t>
            </w:r>
            <w:r>
              <w:rPr>
                <w:rFonts w:hint="eastAsia" w:ascii="宋体" w:hAnsi="宋体"/>
                <w:b/>
                <w:color w:val="000000"/>
                <w:szCs w:val="21"/>
                <w:highlight w:val="none"/>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rPr>
                <w:rFonts w:ascii="宋体" w:hAnsi="宋体"/>
                <w:b/>
                <w:color w:val="000000"/>
                <w:szCs w:val="21"/>
              </w:rPr>
            </w:pPr>
            <w:r>
              <w:rPr>
                <w:rFonts w:hint="eastAsia"/>
                <w:sz w:val="20"/>
                <w:lang w:eastAsia="zh-CN"/>
              </w:rPr>
              <w:t>电线、电缆、发电机、变压器的销售</w:t>
            </w:r>
          </w:p>
        </w:tc>
        <w:tc>
          <w:tcPr>
            <w:tcW w:w="1541" w:type="dxa"/>
            <w:vAlign w:val="center"/>
          </w:tcPr>
          <w:p>
            <w:pPr>
              <w:spacing w:line="400" w:lineRule="exact"/>
              <w:rPr>
                <w:rFonts w:ascii="宋体" w:hAnsi="宋体"/>
                <w:b/>
                <w:color w:val="000000"/>
                <w:szCs w:val="21"/>
              </w:rPr>
            </w:pPr>
            <w:r>
              <w:rPr>
                <w:sz w:val="20"/>
              </w:rPr>
              <w:t>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rPr>
                <w:rFonts w:ascii="宋体" w:hAnsi="宋体"/>
                <w:b/>
                <w:color w:val="000000"/>
                <w:szCs w:val="21"/>
              </w:rPr>
            </w:pPr>
            <w:r>
              <w:rPr>
                <w:rFonts w:hint="eastAsia"/>
                <w:sz w:val="20"/>
                <w:lang w:eastAsia="zh-CN"/>
              </w:rPr>
              <w:t>电线、电缆、发电机、变压器的销售</w:t>
            </w:r>
            <w:r>
              <w:rPr>
                <w:sz w:val="20"/>
              </w:rPr>
              <w:t>所涉及场所的相关环境管理活动</w:t>
            </w:r>
          </w:p>
        </w:tc>
        <w:tc>
          <w:tcPr>
            <w:tcW w:w="1541" w:type="dxa"/>
            <w:vAlign w:val="center"/>
          </w:tcPr>
          <w:p>
            <w:pPr>
              <w:spacing w:line="400" w:lineRule="exact"/>
              <w:rPr>
                <w:rFonts w:ascii="宋体" w:hAnsi="宋体"/>
                <w:b/>
                <w:color w:val="000000"/>
                <w:szCs w:val="21"/>
              </w:rPr>
            </w:pPr>
            <w:r>
              <w:rPr>
                <w:sz w:val="20"/>
              </w:rPr>
              <w:t>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r>
              <w:rPr>
                <w:rFonts w:hint="eastAsia"/>
                <w:sz w:val="20"/>
                <w:lang w:eastAsia="zh-CN"/>
              </w:rPr>
              <w:t>电线、电缆、发电机、变压器的销售</w:t>
            </w:r>
            <w:r>
              <w:rPr>
                <w:sz w:val="20"/>
              </w:rPr>
              <w:t>所涉及场所的相关职业健康安全管理活动</w:t>
            </w:r>
          </w:p>
        </w:tc>
        <w:tc>
          <w:tcPr>
            <w:tcW w:w="1541" w:type="dxa"/>
            <w:vAlign w:val="center"/>
          </w:tcPr>
          <w:p>
            <w:pPr>
              <w:spacing w:line="400" w:lineRule="exact"/>
              <w:rPr>
                <w:rFonts w:ascii="宋体" w:hAnsi="宋体"/>
                <w:b/>
                <w:color w:val="000000"/>
                <w:szCs w:val="21"/>
              </w:rPr>
            </w:pPr>
            <w:r>
              <w:rPr>
                <w:sz w:val="20"/>
              </w:rPr>
              <w:t>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ascii="宋体" w:hAnsi="宋体"/>
          <w:b/>
          <w:bCs/>
          <w:color w:val="000000"/>
          <w:szCs w:val="21"/>
          <w:lang w:val="en-US" w:eastAsia="zh-CN"/>
        </w:rPr>
        <w:t xml:space="preserve"> </w:t>
      </w:r>
      <w:r>
        <w:rPr>
          <w:rFonts w:hint="eastAsia" w:ascii="宋体" w:hAnsi="宋体"/>
          <w:b/>
          <w:bCs/>
          <w:color w:val="000000"/>
          <w:szCs w:val="21"/>
        </w:rPr>
        <w:t>十一、审核组签字</w:t>
      </w:r>
    </w:p>
    <w:p>
      <w:pPr>
        <w:spacing w:line="400" w:lineRule="exact"/>
        <w:ind w:firstLine="964" w:firstLineChars="400"/>
        <w:rPr>
          <w:rFonts w:ascii="宋体"/>
          <w:b/>
          <w:color w:val="000000"/>
          <w:szCs w:val="21"/>
        </w:rPr>
      </w:pPr>
      <w:r>
        <w:rPr>
          <w:rFonts w:hint="eastAsia" w:ascii="宋体" w:hAnsi="宋体"/>
          <w:b/>
          <w:kern w:val="0"/>
          <w:sz w:val="24"/>
        </w:rPr>
        <w:drawing>
          <wp:anchor distT="0" distB="0" distL="114300" distR="114300" simplePos="0" relativeHeight="251662336" behindDoc="0" locked="0" layoutInCell="1" allowOverlap="1">
            <wp:simplePos x="0" y="0"/>
            <wp:positionH relativeFrom="column">
              <wp:posOffset>3892550</wp:posOffset>
            </wp:positionH>
            <wp:positionV relativeFrom="paragraph">
              <wp:posOffset>9525</wp:posOffset>
            </wp:positionV>
            <wp:extent cx="621665" cy="313690"/>
            <wp:effectExtent l="0" t="0" r="635" b="3810"/>
            <wp:wrapNone/>
            <wp:docPr id="3" name="图片 3"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图片1"/>
                    <pic:cNvPicPr>
                      <a:picLocks noChangeAspect="1"/>
                    </pic:cNvPicPr>
                  </pic:nvPicPr>
                  <pic:blipFill>
                    <a:blip r:embed="rId6"/>
                    <a:stretch>
                      <a:fillRect/>
                    </a:stretch>
                  </pic:blipFill>
                  <pic:spPr>
                    <a:xfrm>
                      <a:off x="0" y="0"/>
                      <a:ext cx="621665" cy="313690"/>
                    </a:xfrm>
                    <a:prstGeom prst="rect">
                      <a:avLst/>
                    </a:prstGeom>
                    <a:noFill/>
                    <a:ln>
                      <a:noFill/>
                    </a:ln>
                  </pic:spPr>
                </pic:pic>
              </a:graphicData>
            </a:graphic>
          </wp:anchor>
        </w:drawing>
      </w:r>
      <w:r>
        <w:rPr>
          <w:rFonts w:hint="eastAsia" w:ascii="宋体" w:hAnsi="宋体"/>
          <w:b/>
          <w:kern w:val="0"/>
          <w:sz w:val="24"/>
        </w:rPr>
        <w:drawing>
          <wp:anchor distT="0" distB="0" distL="114300" distR="114300" simplePos="0" relativeHeight="251661312" behindDoc="0" locked="0" layoutInCell="1" allowOverlap="1">
            <wp:simplePos x="0" y="0"/>
            <wp:positionH relativeFrom="column">
              <wp:posOffset>1847850</wp:posOffset>
            </wp:positionH>
            <wp:positionV relativeFrom="paragraph">
              <wp:posOffset>3175</wp:posOffset>
            </wp:positionV>
            <wp:extent cx="621665" cy="313690"/>
            <wp:effectExtent l="0" t="0" r="635" b="3810"/>
            <wp:wrapNone/>
            <wp:docPr id="2"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1"/>
                    <pic:cNvPicPr>
                      <a:picLocks noChangeAspect="1"/>
                    </pic:cNvPicPr>
                  </pic:nvPicPr>
                  <pic:blipFill>
                    <a:blip r:embed="rId6"/>
                    <a:stretch>
                      <a:fillRect/>
                    </a:stretch>
                  </pic:blipFill>
                  <pic:spPr>
                    <a:xfrm>
                      <a:off x="0" y="0"/>
                      <a:ext cx="621665" cy="313690"/>
                    </a:xfrm>
                    <a:prstGeom prst="rect">
                      <a:avLst/>
                    </a:prstGeom>
                    <a:noFill/>
                    <a:ln>
                      <a:noFill/>
                    </a:ln>
                  </pic:spPr>
                </pic:pic>
              </a:graphicData>
            </a:graphic>
          </wp:anchor>
        </w:drawing>
      </w: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w:t>
      </w:r>
      <w:r>
        <w:rPr>
          <w:rFonts w:hint="eastAsia" w:ascii="宋体" w:hAnsi="宋体"/>
          <w:b/>
          <w:color w:val="000000"/>
          <w:szCs w:val="21"/>
          <w:lang w:val="en-US" w:eastAsia="zh-CN"/>
        </w:rPr>
        <w:t xml:space="preserve"> </w:t>
      </w:r>
      <w:r>
        <w:rPr>
          <w:rFonts w:ascii="宋体" w:hAnsi="宋体"/>
          <w:b/>
          <w:color w:val="000000"/>
          <w:szCs w:val="21"/>
        </w:rPr>
        <w:t xml:space="preserve">:   </w:t>
      </w:r>
    </w:p>
    <w:p>
      <w:pPr>
        <w:ind w:firstLine="843" w:firstLineChars="400"/>
        <w:rPr>
          <w:rFonts w:hint="eastAsia" w:ascii="宋体" w:hAnsi="宋体"/>
          <w:b/>
          <w:color w:val="000000"/>
          <w:szCs w:val="21"/>
          <w:lang w:eastAsia="zh-CN"/>
        </w:rPr>
      </w:pPr>
    </w:p>
    <w:p>
      <w:pPr>
        <w:ind w:firstLine="843" w:firstLineChars="400"/>
        <w:rPr>
          <w:rFonts w:ascii="宋体"/>
          <w:b/>
          <w:color w:val="000000"/>
          <w:szCs w:val="21"/>
        </w:rPr>
      </w:pPr>
      <w:r>
        <w:rPr>
          <w:rFonts w:hint="eastAsia" w:ascii="宋体" w:hAnsi="宋体"/>
          <w:b/>
          <w:color w:val="000000"/>
          <w:szCs w:val="21"/>
          <w:lang w:eastAsia="zh-CN"/>
        </w:rPr>
        <w:t>日期：2022年4月9日</w:t>
      </w:r>
      <w:r>
        <w:rPr>
          <w:rFonts w:ascii="宋体" w:hAnsi="宋体"/>
          <w:b/>
          <w:color w:val="000000"/>
          <w:szCs w:val="21"/>
        </w:rPr>
        <w:t xml:space="preserve">  </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7"/>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7"/>
        <w:pBdr>
          <w:bottom w:val="none" w:color="auto" w:sz="0" w:space="0"/>
        </w:pBdr>
        <w:ind w:right="600"/>
        <w:jc w:val="both"/>
        <w:rPr>
          <w:rFonts w:eastAsia="隶书"/>
          <w:color w:val="000000"/>
          <w:sz w:val="21"/>
          <w:szCs w:val="21"/>
        </w:rPr>
      </w:pPr>
      <w:r>
        <w:rPr>
          <w:rFonts w:hint="eastAsia" w:eastAsia="隶书"/>
          <w:color w:val="000000"/>
          <w:sz w:val="21"/>
          <w:szCs w:val="21"/>
        </w:rPr>
        <w:t>受审核方：</w:t>
      </w:r>
      <w:r>
        <w:rPr>
          <w:rFonts w:hint="eastAsia" w:ascii="宋体" w:hAnsi="宋体" w:cs="宋体"/>
          <w:color w:val="000000"/>
          <w:kern w:val="0"/>
          <w:szCs w:val="21"/>
        </w:rPr>
        <w:t>重庆佳雨龙润实业有限公司</w:t>
      </w:r>
    </w:p>
    <w:tbl>
      <w:tblPr>
        <w:tblStyle w:val="9"/>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rFonts w:hint="default" w:eastAsia="宋体"/>
                <w:color w:val="000000"/>
                <w:sz w:val="21"/>
                <w:szCs w:val="21"/>
                <w:lang w:val="en-US" w:eastAsia="zh-CN"/>
              </w:rPr>
            </w:pPr>
            <w:r>
              <w:rPr>
                <w:rFonts w:hint="eastAsia"/>
                <w:color w:val="000000"/>
                <w:sz w:val="21"/>
                <w:szCs w:val="21"/>
                <w:lang w:val="en-US" w:eastAsia="zh-CN"/>
              </w:rPr>
              <w:t>无</w:t>
            </w: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ascii="宋体" w:hAnsi="宋体"/>
                <w:b/>
                <w:kern w:val="0"/>
                <w:sz w:val="24"/>
              </w:rPr>
              <w:drawing>
                <wp:anchor distT="0" distB="0" distL="114300" distR="114300" simplePos="0" relativeHeight="251664384" behindDoc="0" locked="0" layoutInCell="1" allowOverlap="1">
                  <wp:simplePos x="0" y="0"/>
                  <wp:positionH relativeFrom="column">
                    <wp:posOffset>819150</wp:posOffset>
                  </wp:positionH>
                  <wp:positionV relativeFrom="paragraph">
                    <wp:posOffset>50165</wp:posOffset>
                  </wp:positionV>
                  <wp:extent cx="621665" cy="313690"/>
                  <wp:effectExtent l="0" t="0" r="635" b="3810"/>
                  <wp:wrapNone/>
                  <wp:docPr id="7" name="图片 6"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descr="图片1"/>
                          <pic:cNvPicPr>
                            <a:picLocks noChangeAspect="1"/>
                          </pic:cNvPicPr>
                        </pic:nvPicPr>
                        <pic:blipFill>
                          <a:blip r:embed="rId6"/>
                          <a:stretch>
                            <a:fillRect/>
                          </a:stretch>
                        </pic:blipFill>
                        <pic:spPr>
                          <a:xfrm>
                            <a:off x="0" y="0"/>
                            <a:ext cx="621665" cy="313690"/>
                          </a:xfrm>
                          <a:prstGeom prst="rect">
                            <a:avLst/>
                          </a:prstGeom>
                          <a:noFill/>
                          <a:ln>
                            <a:noFill/>
                          </a:ln>
                        </pic:spPr>
                      </pic:pic>
                    </a:graphicData>
                  </a:graphic>
                </wp:anchor>
              </w:drawing>
            </w:r>
            <w:r>
              <w:rPr>
                <w:rFonts w:hint="eastAsia"/>
                <w:b/>
                <w:color w:val="000000"/>
                <w:szCs w:val="21"/>
              </w:rPr>
              <w:t>审核组长：</w:t>
            </w:r>
          </w:p>
          <w:p>
            <w:pPr>
              <w:spacing w:line="280" w:lineRule="exact"/>
              <w:rPr>
                <w:b/>
                <w:color w:val="000000"/>
                <w:szCs w:val="21"/>
              </w:rPr>
            </w:pPr>
          </w:p>
          <w:p>
            <w:pPr>
              <w:spacing w:line="280" w:lineRule="exact"/>
              <w:rPr>
                <w:rFonts w:hint="eastAsia" w:eastAsia="宋体"/>
                <w:b/>
                <w:color w:val="000000"/>
                <w:szCs w:val="21"/>
                <w:lang w:eastAsia="zh-CN"/>
              </w:rPr>
            </w:pPr>
            <w:r>
              <w:rPr>
                <w:rFonts w:hint="eastAsia"/>
                <w:b/>
                <w:color w:val="000000"/>
                <w:szCs w:val="21"/>
              </w:rPr>
              <w:t>日期：</w:t>
            </w:r>
            <w:r>
              <w:rPr>
                <w:rFonts w:hint="eastAsia"/>
                <w:b/>
                <w:color w:val="000000"/>
                <w:szCs w:val="21"/>
                <w:lang w:eastAsia="zh-CN"/>
              </w:rPr>
              <w:t>2022年4月9日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rFonts w:hint="eastAsia" w:eastAsia="宋体"/>
                <w:b/>
                <w:color w:val="000000"/>
                <w:szCs w:val="21"/>
                <w:lang w:eastAsia="zh-CN"/>
              </w:rPr>
            </w:pPr>
            <w:r>
              <w:rPr>
                <w:rFonts w:hint="eastAsia"/>
                <w:b/>
                <w:color w:val="000000"/>
                <w:szCs w:val="21"/>
              </w:rPr>
              <w:t>日期：</w:t>
            </w:r>
            <w:r>
              <w:rPr>
                <w:rFonts w:hint="eastAsia"/>
                <w:b/>
                <w:color w:val="000000"/>
                <w:szCs w:val="21"/>
                <w:lang w:eastAsia="zh-CN"/>
              </w:rPr>
              <w:t>2022年4月9日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ascii="宋体" w:hAnsi="宋体" w:eastAsia="宋体" w:cs="宋体"/>
                <w:b/>
                <w:color w:val="000000"/>
                <w:spacing w:val="-10"/>
                <w:szCs w:val="21"/>
              </w:rPr>
              <w:t>■</w:t>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r>
              <w:rPr>
                <w:rFonts w:hint="eastAsia" w:ascii="宋体" w:hAnsi="宋体"/>
                <w:b/>
                <w:kern w:val="0"/>
                <w:sz w:val="24"/>
              </w:rPr>
              <w:drawing>
                <wp:anchor distT="0" distB="0" distL="114300" distR="114300" simplePos="0" relativeHeight="251663360" behindDoc="0" locked="0" layoutInCell="1" allowOverlap="1">
                  <wp:simplePos x="0" y="0"/>
                  <wp:positionH relativeFrom="column">
                    <wp:posOffset>635000</wp:posOffset>
                  </wp:positionH>
                  <wp:positionV relativeFrom="paragraph">
                    <wp:posOffset>62865</wp:posOffset>
                  </wp:positionV>
                  <wp:extent cx="621665" cy="313690"/>
                  <wp:effectExtent l="0" t="0" r="635" b="3810"/>
                  <wp:wrapNone/>
                  <wp:docPr id="6" name="图片 5"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descr="图片1"/>
                          <pic:cNvPicPr>
                            <a:picLocks noChangeAspect="1"/>
                          </pic:cNvPicPr>
                        </pic:nvPicPr>
                        <pic:blipFill>
                          <a:blip r:embed="rId6"/>
                          <a:stretch>
                            <a:fillRect/>
                          </a:stretch>
                        </pic:blipFill>
                        <pic:spPr>
                          <a:xfrm>
                            <a:off x="0" y="0"/>
                            <a:ext cx="621665" cy="313690"/>
                          </a:xfrm>
                          <a:prstGeom prst="rect">
                            <a:avLst/>
                          </a:prstGeom>
                          <a:noFill/>
                          <a:ln>
                            <a:noFill/>
                          </a:ln>
                        </pic:spPr>
                      </pic:pic>
                    </a:graphicData>
                  </a:graphic>
                </wp:anchor>
              </w:drawing>
            </w:r>
          </w:p>
          <w:p>
            <w:pPr>
              <w:spacing w:line="280" w:lineRule="exact"/>
              <w:rPr>
                <w:rFonts w:hint="eastAsia" w:eastAsia="宋体"/>
                <w:b/>
                <w:color w:val="000000"/>
                <w:szCs w:val="21"/>
                <w:lang w:eastAsia="zh-CN"/>
              </w:rPr>
            </w:pPr>
            <w:r>
              <w:rPr>
                <w:rFonts w:hint="eastAsia"/>
                <w:b/>
                <w:color w:val="000000"/>
                <w:szCs w:val="21"/>
              </w:rPr>
              <w:t>验证人：</w:t>
            </w:r>
            <w:r>
              <w:rPr>
                <w:rFonts w:hint="eastAsia"/>
                <w:b/>
                <w:color w:val="000000"/>
                <w:szCs w:val="21"/>
                <w:lang w:val="en-US" w:eastAsia="zh-CN"/>
              </w:rPr>
              <w:t xml:space="preserve">                   </w:t>
            </w:r>
            <w:r>
              <w:rPr>
                <w:rFonts w:hint="eastAsia"/>
                <w:b/>
                <w:color w:val="000000"/>
                <w:szCs w:val="21"/>
              </w:rPr>
              <w:t>日期：</w:t>
            </w:r>
            <w:r>
              <w:rPr>
                <w:rFonts w:hint="eastAsia"/>
                <w:b/>
                <w:color w:val="000000"/>
                <w:szCs w:val="21"/>
                <w:lang w:eastAsia="zh-CN"/>
              </w:rPr>
              <w:t>2022年4月9日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2336"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7"/>
      <w:pBdr>
        <w:bottom w:val="single" w:color="auto" w:sz="4" w:space="1"/>
      </w:pBdr>
      <w:spacing w:line="320" w:lineRule="exact"/>
      <w:ind w:firstLine="756" w:firstLineChars="400"/>
      <w:jc w:val="left"/>
    </w:pPr>
    <w:r>
      <w:rPr>
        <w:rStyle w:val="17"/>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3"/>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08977EB1"/>
    <w:rsid w:val="08E076E5"/>
    <w:rsid w:val="11BA5848"/>
    <w:rsid w:val="3D686B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pPr>
      <w:spacing w:after="120" w:afterLines="0"/>
    </w:pPr>
    <w:rPr>
      <w:kern w:val="2"/>
      <w:sz w:val="21"/>
    </w:rPr>
  </w:style>
  <w:style w:type="paragraph" w:styleId="4">
    <w:name w:val="Body Text Indent"/>
    <w:basedOn w:val="1"/>
    <w:qFormat/>
    <w:uiPriority w:val="0"/>
    <w:pPr>
      <w:tabs>
        <w:tab w:val="left" w:pos="1560"/>
        <w:tab w:val="left" w:pos="1985"/>
      </w:tabs>
      <w:ind w:left="1560" w:hanging="1560"/>
      <w:jc w:val="left"/>
    </w:pPr>
    <w:rPr>
      <w:lang w:eastAsia="ja-JP"/>
    </w:rPr>
  </w:style>
  <w:style w:type="paragraph" w:styleId="5">
    <w:name w:val="Balloon Text"/>
    <w:basedOn w:val="1"/>
    <w:link w:val="13"/>
    <w:semiHidden/>
    <w:qFormat/>
    <w:uiPriority w:val="99"/>
    <w:rPr>
      <w:sz w:val="18"/>
      <w:szCs w:val="18"/>
    </w:rPr>
  </w:style>
  <w:style w:type="paragraph" w:styleId="6">
    <w:name w:val="footer"/>
    <w:basedOn w:val="1"/>
    <w:link w:val="14"/>
    <w:qFormat/>
    <w:uiPriority w:val="99"/>
    <w:pPr>
      <w:tabs>
        <w:tab w:val="center" w:pos="4153"/>
        <w:tab w:val="right" w:pos="8306"/>
      </w:tabs>
      <w:snapToGrid w:val="0"/>
      <w:jc w:val="left"/>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8">
    <w:name w:val="Subtitle"/>
    <w:basedOn w:val="1"/>
    <w:next w:val="1"/>
    <w:link w:val="16"/>
    <w:qFormat/>
    <w:uiPriority w:val="99"/>
    <w:pPr>
      <w:spacing w:before="240" w:after="60" w:line="312" w:lineRule="auto"/>
      <w:jc w:val="center"/>
      <w:outlineLvl w:val="1"/>
    </w:pPr>
    <w:rPr>
      <w:rFonts w:ascii="Cambria" w:hAnsi="Cambria"/>
      <w:b/>
      <w:bCs/>
      <w:kern w:val="28"/>
      <w:sz w:val="32"/>
      <w:szCs w:val="32"/>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2">
    <w:name w:val="表格文字"/>
    <w:basedOn w:val="1"/>
    <w:qFormat/>
    <w:uiPriority w:val="0"/>
    <w:pPr>
      <w:spacing w:before="25" w:after="25"/>
    </w:pPr>
    <w:rPr>
      <w:bCs/>
      <w:spacing w:val="10"/>
    </w:rPr>
  </w:style>
  <w:style w:type="character" w:customStyle="1" w:styleId="13">
    <w:name w:val="批注框文本 Char"/>
    <w:link w:val="5"/>
    <w:semiHidden/>
    <w:qFormat/>
    <w:locked/>
    <w:uiPriority w:val="99"/>
    <w:rPr>
      <w:rFonts w:ascii="Times New Roman" w:hAnsi="Times New Roman" w:eastAsia="宋体" w:cs="Times New Roman"/>
      <w:sz w:val="18"/>
      <w:szCs w:val="18"/>
    </w:rPr>
  </w:style>
  <w:style w:type="character" w:customStyle="1" w:styleId="14">
    <w:name w:val="页脚 Char"/>
    <w:link w:val="6"/>
    <w:qFormat/>
    <w:locked/>
    <w:uiPriority w:val="99"/>
    <w:rPr>
      <w:rFonts w:ascii="Times New Roman" w:hAnsi="Times New Roman" w:eastAsia="宋体" w:cs="Times New Roman"/>
      <w:sz w:val="18"/>
      <w:szCs w:val="18"/>
    </w:rPr>
  </w:style>
  <w:style w:type="character" w:customStyle="1" w:styleId="15">
    <w:name w:val="页眉 Char"/>
    <w:link w:val="7"/>
    <w:qFormat/>
    <w:locked/>
    <w:uiPriority w:val="99"/>
    <w:rPr>
      <w:rFonts w:ascii="Calibri" w:hAnsi="Calibri" w:eastAsia="宋体" w:cs="Times New Roman"/>
      <w:sz w:val="18"/>
      <w:szCs w:val="18"/>
    </w:rPr>
  </w:style>
  <w:style w:type="character" w:customStyle="1" w:styleId="16">
    <w:name w:val="副标题 Char"/>
    <w:link w:val="8"/>
    <w:qFormat/>
    <w:locked/>
    <w:uiPriority w:val="99"/>
    <w:rPr>
      <w:rFonts w:ascii="Cambria" w:hAnsi="Cambria" w:eastAsia="宋体" w:cs="Times New Roman"/>
      <w:b/>
      <w:bCs/>
      <w:kern w:val="28"/>
      <w:sz w:val="32"/>
      <w:szCs w:val="32"/>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11pt AS0"/>
    <w:basedOn w:val="1"/>
    <w:qFormat/>
    <w:uiPriority w:val="0"/>
    <w:pPr>
      <w:spacing w:before="60"/>
    </w:pPr>
    <w:rPr>
      <w:sz w:val="22"/>
    </w:rPr>
  </w:style>
  <w:style w:type="paragraph" w:customStyle="1" w:styleId="19">
    <w:name w:val="Body 10pt De Left AS0"/>
    <w:basedOn w:val="1"/>
    <w:qFormat/>
    <w:uiPriority w:val="0"/>
  </w:style>
  <w:style w:type="paragraph" w:customStyle="1" w:styleId="20">
    <w:name w:val="Header 10pt De PS0"/>
    <w:basedOn w:val="1"/>
    <w:qFormat/>
    <w:uiPriority w:val="0"/>
    <w:pPr>
      <w:spacing w:before="40" w:after="40"/>
    </w:pPr>
    <w:rPr>
      <w:rFonts w:eastAsia="Times New Roman"/>
      <w:b/>
      <w:sz w:val="20"/>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Body 6pt"/>
    <w:basedOn w:val="1"/>
    <w:qFormat/>
    <w:uiPriority w:val="0"/>
    <w:pPr>
      <w:spacing w:before="40" w:after="40"/>
    </w:pPr>
    <w:rPr>
      <w:rFonts w:eastAsia="Times New Roman"/>
      <w:sz w:val="12"/>
      <w:szCs w:val="20"/>
      <w:lang w:val="de-DE" w:eastAsia="de-DE"/>
    </w:rPr>
  </w:style>
  <w:style w:type="paragraph" w:customStyle="1" w:styleId="23">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4">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1414</Words>
  <Characters>8065</Characters>
  <Lines>67</Lines>
  <Paragraphs>18</Paragraphs>
  <TotalTime>0</TotalTime>
  <ScaleCrop>false</ScaleCrop>
  <LinksUpToDate>false</LinksUpToDate>
  <CharactersWithSpaces>9461</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way一直都在</cp:lastModifiedBy>
  <dcterms:modified xsi:type="dcterms:W3CDTF">2022-04-10T01:51:26Z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2052-11.1.0.11636</vt:lpwstr>
  </property>
</Properties>
</file>