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737"/>
        <w:gridCol w:w="681"/>
        <w:gridCol w:w="1064"/>
        <w:gridCol w:w="785"/>
        <w:gridCol w:w="570"/>
        <w:gridCol w:w="150"/>
        <w:gridCol w:w="621"/>
        <w:gridCol w:w="300"/>
        <w:gridCol w:w="39"/>
        <w:gridCol w:w="551"/>
        <w:gridCol w:w="629"/>
        <w:gridCol w:w="100"/>
        <w:gridCol w:w="472"/>
        <w:gridCol w:w="618"/>
        <w:gridCol w:w="60"/>
        <w:gridCol w:w="240"/>
        <w:gridCol w:w="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重庆佳雨龙润实业有限公司</w:t>
            </w:r>
            <w:bookmarkEnd w:id="0"/>
            <w:bookmarkStart w:id="29" w:name="_GoBack"/>
            <w:bookmarkEnd w:id="2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重庆市南岸经开区长生桥镇茶园新区通江大道215号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重庆市南岸经开区长生桥镇茶园新区通江大道215号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0312-2022-QEO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9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11" w:name="联系人"/>
            <w:r>
              <w:rPr>
                <w:rFonts w:hint="eastAsia"/>
                <w:sz w:val="21"/>
                <w:szCs w:val="21"/>
              </w:rPr>
              <w:t>倪燕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13228685343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14" w:name="管理者代表"/>
            <w:r>
              <w:rPr>
                <w:rFonts w:hint="eastAsia"/>
                <w:sz w:val="21"/>
                <w:szCs w:val="21"/>
              </w:rPr>
              <w:t>张佐</w:t>
            </w:r>
            <w:bookmarkEnd w:id="14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5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7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7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7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18" w:name="审核范围"/>
            <w:r>
              <w:t>Q：</w:t>
            </w:r>
            <w:r>
              <w:rPr>
                <w:rFonts w:hint="eastAsia"/>
                <w:lang w:eastAsia="zh-CN"/>
              </w:rPr>
              <w:t>电线、电缆、发电机、变压器的销售</w:t>
            </w:r>
          </w:p>
          <w:p>
            <w:r>
              <w:t>E：</w:t>
            </w:r>
            <w:r>
              <w:rPr>
                <w:rFonts w:hint="eastAsia"/>
                <w:lang w:eastAsia="zh-CN"/>
              </w:rPr>
              <w:t>电线、电缆、发电机、变压器的销售</w:t>
            </w:r>
            <w:r>
              <w:t>所涉及场所的相关环境管理活动</w:t>
            </w:r>
          </w:p>
          <w:p>
            <w:r>
              <w:t>O：</w:t>
            </w:r>
            <w:r>
              <w:rPr>
                <w:rFonts w:hint="eastAsia"/>
                <w:lang w:eastAsia="zh-CN"/>
              </w:rPr>
              <w:t>电线、电缆、发电机、变压器的销售</w:t>
            </w:r>
            <w:r>
              <w:t>所涉及场所的相关职业健康安全管理活动</w:t>
            </w:r>
            <w:bookmarkEnd w:id="18"/>
          </w:p>
        </w:tc>
        <w:tc>
          <w:tcPr>
            <w:tcW w:w="1201" w:type="dxa"/>
            <w:gridSpan w:val="3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4"/>
            <w:vAlign w:val="center"/>
          </w:tcPr>
          <w:p>
            <w:bookmarkStart w:id="19" w:name="专业代码"/>
            <w:r>
              <w:t>Q：29.12.00</w:t>
            </w:r>
          </w:p>
          <w:p>
            <w:r>
              <w:t>E：29.12.00</w:t>
            </w:r>
          </w:p>
          <w:p>
            <w:r>
              <w:t>O：29.12.00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 A/0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2022年04月09日 上午至2022年04月09日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2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3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6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2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03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6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2020-N1QMS-1267598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2020-N1EMS-1267598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2021-N1OHSMS-1267598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39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03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6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2020-N1QMS-1262293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2020-N1EMS-1262293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2021-N1OHSMS-1262293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39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038" w:type="dxa"/>
            <w:gridSpan w:val="2"/>
            <w:vAlign w:val="center"/>
          </w:tcPr>
          <w:p/>
        </w:tc>
        <w:tc>
          <w:tcPr>
            <w:tcW w:w="681" w:type="dxa"/>
            <w:vAlign w:val="center"/>
          </w:tcPr>
          <w:p/>
        </w:tc>
        <w:tc>
          <w:tcPr>
            <w:tcW w:w="2569" w:type="dxa"/>
            <w:gridSpan w:val="4"/>
            <w:vAlign w:val="center"/>
          </w:tcPr>
          <w:p/>
        </w:tc>
        <w:tc>
          <w:tcPr>
            <w:tcW w:w="960" w:type="dxa"/>
            <w:gridSpan w:val="3"/>
            <w:vAlign w:val="center"/>
          </w:tcPr>
          <w:p/>
        </w:tc>
        <w:tc>
          <w:tcPr>
            <w:tcW w:w="1280" w:type="dxa"/>
            <w:gridSpan w:val="3"/>
            <w:vAlign w:val="center"/>
          </w:tcPr>
          <w:p/>
        </w:tc>
        <w:tc>
          <w:tcPr>
            <w:tcW w:w="1390" w:type="dxa"/>
            <w:gridSpan w:val="4"/>
            <w:vAlign w:val="center"/>
          </w:tcPr>
          <w:p/>
        </w:tc>
        <w:tc>
          <w:tcPr>
            <w:tcW w:w="91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038" w:type="dxa"/>
            <w:gridSpan w:val="2"/>
            <w:vAlign w:val="center"/>
          </w:tcPr>
          <w:p/>
        </w:tc>
        <w:tc>
          <w:tcPr>
            <w:tcW w:w="681" w:type="dxa"/>
            <w:vAlign w:val="center"/>
          </w:tcPr>
          <w:p/>
        </w:tc>
        <w:tc>
          <w:tcPr>
            <w:tcW w:w="2569" w:type="dxa"/>
            <w:gridSpan w:val="4"/>
            <w:vAlign w:val="center"/>
          </w:tcPr>
          <w:p/>
        </w:tc>
        <w:tc>
          <w:tcPr>
            <w:tcW w:w="960" w:type="dxa"/>
            <w:gridSpan w:val="3"/>
            <w:vAlign w:val="center"/>
          </w:tcPr>
          <w:p/>
        </w:tc>
        <w:tc>
          <w:tcPr>
            <w:tcW w:w="1280" w:type="dxa"/>
            <w:gridSpan w:val="3"/>
            <w:vAlign w:val="center"/>
          </w:tcPr>
          <w:p/>
        </w:tc>
        <w:tc>
          <w:tcPr>
            <w:tcW w:w="1390" w:type="dxa"/>
            <w:gridSpan w:val="4"/>
            <w:vAlign w:val="center"/>
          </w:tcPr>
          <w:p/>
        </w:tc>
        <w:tc>
          <w:tcPr>
            <w:tcW w:w="91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038" w:type="dxa"/>
            <w:gridSpan w:val="2"/>
            <w:vAlign w:val="center"/>
          </w:tcPr>
          <w:p/>
        </w:tc>
        <w:tc>
          <w:tcPr>
            <w:tcW w:w="681" w:type="dxa"/>
            <w:vAlign w:val="center"/>
          </w:tcPr>
          <w:p/>
        </w:tc>
        <w:tc>
          <w:tcPr>
            <w:tcW w:w="2569" w:type="dxa"/>
            <w:gridSpan w:val="4"/>
            <w:vAlign w:val="center"/>
          </w:tcPr>
          <w:p/>
        </w:tc>
        <w:tc>
          <w:tcPr>
            <w:tcW w:w="960" w:type="dxa"/>
            <w:gridSpan w:val="3"/>
            <w:vAlign w:val="center"/>
          </w:tcPr>
          <w:p/>
        </w:tc>
        <w:tc>
          <w:tcPr>
            <w:tcW w:w="1280" w:type="dxa"/>
            <w:gridSpan w:val="3"/>
            <w:vAlign w:val="center"/>
          </w:tcPr>
          <w:p/>
        </w:tc>
        <w:tc>
          <w:tcPr>
            <w:tcW w:w="1390" w:type="dxa"/>
            <w:gridSpan w:val="4"/>
            <w:vAlign w:val="center"/>
          </w:tcPr>
          <w:p/>
        </w:tc>
        <w:tc>
          <w:tcPr>
            <w:tcW w:w="91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2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3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8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849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68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180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50" w:type="dxa"/>
            <w:gridSpan w:val="4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153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038" w:type="dxa"/>
            <w:gridSpan w:val="2"/>
            <w:vAlign w:val="center"/>
          </w:tcPr>
          <w:p/>
        </w:tc>
        <w:tc>
          <w:tcPr>
            <w:tcW w:w="681" w:type="dxa"/>
            <w:vAlign w:val="center"/>
          </w:tcPr>
          <w:p/>
        </w:tc>
        <w:tc>
          <w:tcPr>
            <w:tcW w:w="1849" w:type="dxa"/>
            <w:gridSpan w:val="2"/>
            <w:vAlign w:val="center"/>
          </w:tcPr>
          <w:p/>
        </w:tc>
        <w:tc>
          <w:tcPr>
            <w:tcW w:w="1680" w:type="dxa"/>
            <w:gridSpan w:val="5"/>
            <w:vAlign w:val="center"/>
          </w:tcPr>
          <w:p/>
        </w:tc>
        <w:tc>
          <w:tcPr>
            <w:tcW w:w="1180" w:type="dxa"/>
            <w:gridSpan w:val="2"/>
            <w:vAlign w:val="center"/>
          </w:tcPr>
          <w:p/>
        </w:tc>
        <w:tc>
          <w:tcPr>
            <w:tcW w:w="1250" w:type="dxa"/>
            <w:gridSpan w:val="4"/>
            <w:vAlign w:val="center"/>
          </w:tcPr>
          <w:p/>
        </w:tc>
        <w:tc>
          <w:tcPr>
            <w:tcW w:w="1153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038" w:type="dxa"/>
            <w:gridSpan w:val="2"/>
            <w:vAlign w:val="center"/>
          </w:tcPr>
          <w:p/>
        </w:tc>
        <w:tc>
          <w:tcPr>
            <w:tcW w:w="681" w:type="dxa"/>
            <w:vAlign w:val="center"/>
          </w:tcPr>
          <w:p/>
        </w:tc>
        <w:tc>
          <w:tcPr>
            <w:tcW w:w="1849" w:type="dxa"/>
            <w:gridSpan w:val="2"/>
            <w:vAlign w:val="center"/>
          </w:tcPr>
          <w:p/>
        </w:tc>
        <w:tc>
          <w:tcPr>
            <w:tcW w:w="1680" w:type="dxa"/>
            <w:gridSpan w:val="5"/>
            <w:vAlign w:val="center"/>
          </w:tcPr>
          <w:p/>
        </w:tc>
        <w:tc>
          <w:tcPr>
            <w:tcW w:w="1180" w:type="dxa"/>
            <w:gridSpan w:val="2"/>
            <w:vAlign w:val="center"/>
          </w:tcPr>
          <w:p/>
        </w:tc>
        <w:tc>
          <w:tcPr>
            <w:tcW w:w="1250" w:type="dxa"/>
            <w:gridSpan w:val="4"/>
            <w:vAlign w:val="center"/>
          </w:tcPr>
          <w:p/>
        </w:tc>
        <w:tc>
          <w:tcPr>
            <w:tcW w:w="1153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54610</wp:posOffset>
                  </wp:positionV>
                  <wp:extent cx="621665" cy="313690"/>
                  <wp:effectExtent l="0" t="0" r="635" b="3810"/>
                  <wp:wrapNone/>
                  <wp:docPr id="1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10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10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2022年04月0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10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2022年04月0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730"/>
        <w:gridCol w:w="679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6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7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7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6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7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67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66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730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9:00-12:00</w:t>
            </w:r>
          </w:p>
        </w:tc>
        <w:tc>
          <w:tcPr>
            <w:tcW w:w="6790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66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790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66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790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-管理手册；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-文件化的程序；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-作业文件；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-记录表格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66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790" w:type="dxa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661" w:type="dxa"/>
            <w:vMerge w:val="restart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730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9:00-12:00</w:t>
            </w:r>
          </w:p>
        </w:tc>
        <w:tc>
          <w:tcPr>
            <w:tcW w:w="6790" w:type="dxa"/>
            <w:shd w:val="clear" w:color="auto" w:fill="EAF1DD" w:themeFill="accent3" w:themeFillTint="33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66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730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790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66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730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790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查看地理位置图、污水管网图（适用时）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了解主要资源和能源使用种类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查看环境因素的识别和评价程序合理性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了解重要环境因素的和控制措施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-了解适用的环境法律和其他要求的获取、识别程序实施情况和合规性评价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-查看合规性证明（9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年后新扩建的环评验收、环境监测报告）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-了解危险废弃物的处置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</w:t>
            </w:r>
            <w:r>
              <w:rPr>
                <w:sz w:val="21"/>
                <w:szCs w:val="21"/>
              </w:rPr>
              <w:t>应急准备和响应情况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查看《排污许可证》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66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730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790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观察总排口是否存在明显违规现象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66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730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790" w:type="dxa"/>
            <w:shd w:val="clear" w:color="auto" w:fill="E5DFEC" w:themeFill="accent4" w:themeFillTint="33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-查看危险源的辨识和评价程序合理性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-了解重要危险源的辨识和控制措施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了解适用的职业健康安全法律和其他要求的获取、识别程序实施情况和合规性评价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-查看合规性证明（安全评估、职业病评估、作业场所监测、）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-了解三级安全教育的实施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-了解职业病体检的情况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</w:t>
            </w:r>
            <w:r>
              <w:rPr>
                <w:sz w:val="21"/>
                <w:szCs w:val="21"/>
              </w:rPr>
              <w:t>应急准备和响应情况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66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730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790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66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790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1946EA"/>
    <w:rsid w:val="2A6438B7"/>
    <w:rsid w:val="62E74F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1</TotalTime>
  <ScaleCrop>false</ScaleCrop>
  <LinksUpToDate>false</LinksUpToDate>
  <CharactersWithSpaces>3682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2022-04-09T01:48:47Z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2052-11.1.0.11365</vt:lpwstr>
  </property>
</Properties>
</file>