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0265-2022-Q-2022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协宝（重庆）建材股份有限公司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协宝（重庆）建材股份有限公司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重庆市江津区白沙工业园D-26</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重庆市江津区白沙工业园D-26</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蔡春鹏</w:t>
            </w:r>
            <w:bookmarkEnd w:id="10"/>
          </w:p>
        </w:tc>
        <w:tc>
          <w:tcPr>
            <w:tcW w:w="1313" w:type="dxa"/>
            <w:vAlign w:val="center"/>
          </w:tcPr>
          <w:p>
            <w:r>
              <w:rPr>
                <w:rFonts w:hint="eastAsia"/>
              </w:rPr>
              <w:t>电话.</w:t>
            </w:r>
          </w:p>
        </w:tc>
        <w:tc>
          <w:tcPr>
            <w:tcW w:w="2180" w:type="dxa"/>
            <w:vAlign w:val="center"/>
          </w:tcPr>
          <w:p>
            <w:bookmarkStart w:id="11" w:name="联系人电话"/>
            <w:r>
              <w:t>18523978888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林亚聪</w:t>
            </w:r>
            <w:bookmarkEnd w:id="13"/>
          </w:p>
        </w:tc>
        <w:tc>
          <w:tcPr>
            <w:tcW w:w="1313" w:type="dxa"/>
            <w:vAlign w:val="center"/>
          </w:tcPr>
          <w:p>
            <w:r>
              <w:rPr>
                <w:rFonts w:hint="eastAsia"/>
              </w:rPr>
              <w:t>管理者代表</w:t>
            </w:r>
          </w:p>
        </w:tc>
        <w:tc>
          <w:tcPr>
            <w:tcW w:w="2180" w:type="dxa"/>
          </w:tcPr>
          <w:p>
            <w:bookmarkStart w:id="14" w:name="管理者代表"/>
            <w:r>
              <w:t>蔡春鹏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eastAsia="宋体" w:cs="宋体"/>
                <w:szCs w:val="21"/>
                <w:lang w:eastAsia="zh-CN"/>
              </w:rPr>
            </w:pPr>
            <w:r>
              <w:rPr>
                <w:rFonts w:hint="eastAsia" w:ascii="宋体" w:hAnsi="宋体" w:cs="宋体"/>
                <w:szCs w:val="21"/>
              </w:rPr>
              <w:t>灌浆料和压浆料加工工艺流程一样</w:t>
            </w:r>
            <w:r>
              <w:rPr>
                <w:rFonts w:hint="eastAsia" w:ascii="宋体" w:hAnsi="宋体" w:cs="宋体"/>
                <w:szCs w:val="21"/>
                <w:lang w:eastAsia="zh-CN"/>
              </w:rPr>
              <w:t>，</w:t>
            </w:r>
          </w:p>
          <w:p>
            <w:r>
              <w:rPr>
                <w:rFonts w:hint="eastAsia" w:ascii="宋体" w:hAnsi="宋体" w:eastAsia="宋体" w:cs="Times New Roman"/>
                <w:szCs w:val="21"/>
                <w:lang w:val="en-US" w:eastAsia="zh-CN"/>
              </w:rPr>
              <w:t>工艺流程为：</w:t>
            </w:r>
            <w:r>
              <w:rPr>
                <w:rFonts w:hint="eastAsia" w:ascii="宋体" w:hAnsi="宋体" w:eastAsia="宋体" w:cs="Times New Roman"/>
                <w:szCs w:val="21"/>
              </w:rPr>
              <w:t>配料—混合—成品包装—抽样检验—成品入库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2022年04月09日 上午至2022年04月09日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重庆市江津区白沙工业园D-26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Q：水泥基灌浆、压浆材料的加工</w:t>
            </w:r>
          </w:p>
          <w:p>
            <w:r>
              <w:t>E：水泥基灌浆、压浆材料的加工所涉及场所的相关环境管理活动。</w:t>
            </w:r>
          </w:p>
          <w:p>
            <w:r>
              <w:t>O：水泥基灌浆、压浆材料的加工所涉及场所的相关职业健康安全管理活动。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Q：16.02.04</w:t>
            </w:r>
          </w:p>
          <w:p>
            <w:r>
              <w:t>E：16.02.04</w:t>
            </w:r>
          </w:p>
          <w:p>
            <w:r>
              <w:t>O：16.02.04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eastAsia="宋体"/>
              </w:rPr>
            </w:pPr>
            <w:r>
              <w:rPr>
                <w:rFonts w:hint="eastAsia" w:eastAsia="宋体"/>
              </w:rPr>
              <w:t>体系文件实施时间</w:t>
            </w:r>
          </w:p>
        </w:tc>
        <w:tc>
          <w:tcPr>
            <w:tcW w:w="2733" w:type="dxa"/>
          </w:tcPr>
          <w:p>
            <w:pPr>
              <w:rPr>
                <w:rFonts w:hint="eastAsia" w:eastAsia="宋体"/>
              </w:rPr>
            </w:pPr>
            <w:r>
              <w:rPr>
                <w:rFonts w:hint="eastAsia" w:eastAsia="宋体"/>
                <w:lang w:eastAsia="zh-CN"/>
              </w:rPr>
              <w:t>2020年</w:t>
            </w:r>
            <w:r>
              <w:rPr>
                <w:rFonts w:hint="eastAsia" w:eastAsia="宋体"/>
                <w:lang w:val="en-US" w:eastAsia="zh-CN"/>
              </w:rPr>
              <w:t>10</w:t>
            </w:r>
            <w:r>
              <w:rPr>
                <w:rFonts w:hint="eastAsia" w:eastAsia="宋体"/>
                <w:lang w:eastAsia="zh-CN"/>
              </w:rPr>
              <w:t>月01日</w:t>
            </w:r>
          </w:p>
        </w:tc>
        <w:tc>
          <w:tcPr>
            <w:tcW w:w="1883" w:type="dxa"/>
            <w:vAlign w:val="center"/>
          </w:tcPr>
          <w:p>
            <w:pPr>
              <w:rPr>
                <w:rFonts w:hint="eastAsia" w:eastAsia="宋体"/>
              </w:rPr>
            </w:pPr>
            <w:r>
              <w:rPr>
                <w:rFonts w:hint="eastAsia" w:eastAsia="宋体"/>
              </w:rPr>
              <w:t>管理体系运行已超过3个月</w:t>
            </w:r>
          </w:p>
        </w:tc>
        <w:tc>
          <w:tcPr>
            <w:tcW w:w="3215" w:type="dxa"/>
            <w:vAlign w:val="center"/>
          </w:tcPr>
          <w:p>
            <w:pPr>
              <w:rPr>
                <w:rFonts w:hint="eastAsia" w:eastAsia="宋体"/>
              </w:rPr>
            </w:pPr>
            <w:r>
              <w:rPr>
                <w:rFonts w:hint="eastAsia" w:eastAsia="宋体"/>
              </w:rPr>
              <w:sym w:font="Wingdings 2" w:char="0052"/>
            </w:r>
            <w:r>
              <w:rPr>
                <w:rFonts w:hint="eastAsia" w:eastAsia="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eastAsia="宋体"/>
                <w:lang w:val="en-US" w:eastAsia="zh-CN"/>
              </w:rPr>
              <w:t>2021年4月15日</w:t>
            </w:r>
          </w:p>
        </w:tc>
        <w:tc>
          <w:tcPr>
            <w:tcW w:w="1883" w:type="dxa"/>
            <w:vAlign w:val="center"/>
          </w:tcPr>
          <w:p>
            <w:pPr>
              <w:rPr>
                <w:rFonts w:hint="eastAsia" w:eastAsia="宋体"/>
              </w:rPr>
            </w:pPr>
            <w:r>
              <w:rPr>
                <w:rFonts w:hint="eastAsia" w:eastAsia="宋体"/>
              </w:rPr>
              <w:t>认证证书有效期</w:t>
            </w:r>
          </w:p>
          <w:p>
            <w:pPr>
              <w:rPr>
                <w:rFonts w:hint="eastAsia" w:eastAsia="宋体"/>
              </w:rPr>
            </w:pPr>
            <w:r>
              <w:rPr>
                <w:rFonts w:hint="eastAsia" w:eastAsia="宋体"/>
              </w:rPr>
              <w:t>（初审除外）</w:t>
            </w:r>
          </w:p>
        </w:tc>
        <w:tc>
          <w:tcPr>
            <w:tcW w:w="3215" w:type="dxa"/>
            <w:vAlign w:val="center"/>
          </w:tcPr>
          <w:p>
            <w:pPr>
              <w:rPr>
                <w:rFonts w:hint="default" w:eastAsia="宋体"/>
                <w:lang w:val="en-US" w:eastAsia="zh-CN"/>
              </w:rPr>
            </w:pPr>
            <w:r>
              <w:rPr>
                <w:rFonts w:hint="eastAsia" w:eastAsia="宋体"/>
              </w:rPr>
              <w:t>有效至</w:t>
            </w:r>
            <w:r>
              <w:rPr>
                <w:rFonts w:hint="eastAsia" w:eastAsia="宋体"/>
                <w:lang w:val="en-US" w:eastAsia="zh-CN"/>
              </w:rPr>
              <w:t>2024年4月19日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78"/>
        <w:gridCol w:w="129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78" w:type="dxa"/>
            <w:shd w:val="clear" w:color="auto" w:fill="F3F3F3"/>
            <w:tcMar>
              <w:left w:w="57" w:type="dxa"/>
              <w:right w:w="57" w:type="dxa"/>
            </w:tcMar>
          </w:tcPr>
          <w:p>
            <w:r>
              <w:rPr>
                <w:rFonts w:hint="eastAsia"/>
              </w:rPr>
              <w:t>审核范围（产品和过程）</w:t>
            </w:r>
          </w:p>
          <w:p/>
          <w:p/>
        </w:tc>
        <w:tc>
          <w:tcPr>
            <w:tcW w:w="129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协宝（重庆）建材股份有限公司</w:t>
            </w:r>
            <w:r>
              <w:rPr>
                <w:rFonts w:hint="eastAsia"/>
                <w:sz w:val="21"/>
                <w:szCs w:val="21"/>
                <w:lang w:val="en-US" w:eastAsia="zh-CN"/>
              </w:rPr>
              <w:t>/</w:t>
            </w:r>
            <w:r>
              <w:rPr>
                <w:sz w:val="21"/>
                <w:szCs w:val="21"/>
              </w:rPr>
              <w:t>重庆市江津区白沙工业园D-26</w:t>
            </w:r>
          </w:p>
        </w:tc>
        <w:tc>
          <w:tcPr>
            <w:tcW w:w="2267" w:type="dxa"/>
          </w:tcPr>
          <w:p>
            <w:pPr>
              <w:rPr>
                <w:rFonts w:hint="eastAsia" w:ascii="Times New Roman" w:hAnsi="Times New Roman" w:eastAsia="宋体" w:cs="Times New Roman"/>
                <w:sz w:val="21"/>
                <w:szCs w:val="21"/>
                <w:lang w:val="de-DE" w:eastAsia="zh-CN"/>
              </w:rPr>
            </w:pPr>
            <w:r>
              <w:rPr>
                <w:rFonts w:ascii="Times New Roman" w:hAnsi="Times New Roman" w:eastAsia="宋体" w:cs="Times New Roman"/>
                <w:sz w:val="21"/>
                <w:szCs w:val="21"/>
              </w:rPr>
              <w:t>重庆市江津区白沙工业园D-26</w:t>
            </w:r>
          </w:p>
        </w:tc>
        <w:tc>
          <w:tcPr>
            <w:tcW w:w="571" w:type="dxa"/>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w:t>
            </w:r>
          </w:p>
        </w:tc>
        <w:tc>
          <w:tcPr>
            <w:tcW w:w="2178" w:type="dxa"/>
            <w:vAlign w:val="center"/>
          </w:tcPr>
          <w:p>
            <w:pPr>
              <w:rPr>
                <w:rFonts w:ascii="Times New Roman" w:hAnsi="Times New Roman" w:eastAsia="宋体" w:cs="Times New Roman"/>
                <w:sz w:val="21"/>
                <w:szCs w:val="21"/>
                <w:lang w:eastAsia="ja-JP"/>
              </w:rPr>
            </w:pPr>
            <w:r>
              <w:rPr>
                <w:rFonts w:ascii="Times New Roman" w:hAnsi="Times New Roman" w:eastAsia="宋体" w:cs="Times New Roman"/>
                <w:sz w:val="21"/>
                <w:szCs w:val="21"/>
              </w:rPr>
              <w:t>水泥基灌浆、压浆材料的加工所涉及的相关管理活动</w:t>
            </w:r>
          </w:p>
        </w:tc>
        <w:tc>
          <w:tcPr>
            <w:tcW w:w="1294"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GB/T19001-2016</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GB/T24001-2016</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GB/T45001-2020</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78" w:type="dxa"/>
            <w:vAlign w:val="center"/>
          </w:tcPr>
          <w:p>
            <w:pPr>
              <w:rPr>
                <w:lang w:eastAsia="ja-JP"/>
              </w:rPr>
            </w:pPr>
          </w:p>
        </w:tc>
        <w:tc>
          <w:tcPr>
            <w:tcW w:w="12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78" w:type="dxa"/>
            <w:vAlign w:val="center"/>
          </w:tcPr>
          <w:p>
            <w:pPr>
              <w:rPr>
                <w:lang w:eastAsia="ja-JP"/>
              </w:rPr>
            </w:pPr>
          </w:p>
        </w:tc>
        <w:tc>
          <w:tcPr>
            <w:tcW w:w="12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78" w:type="dxa"/>
            <w:vAlign w:val="center"/>
          </w:tcPr>
          <w:p>
            <w:pPr>
              <w:rPr>
                <w:lang w:eastAsia="ja-JP"/>
              </w:rPr>
            </w:pPr>
          </w:p>
        </w:tc>
        <w:tc>
          <w:tcPr>
            <w:tcW w:w="12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78" w:type="dxa"/>
            <w:vAlign w:val="center"/>
          </w:tcPr>
          <w:p>
            <w:pPr>
              <w:rPr>
                <w:lang w:eastAsia="ja-JP"/>
              </w:rPr>
            </w:pPr>
          </w:p>
        </w:tc>
        <w:tc>
          <w:tcPr>
            <w:tcW w:w="1294"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Q:16.02.04</w:t>
            </w:r>
          </w:p>
          <w:p>
            <w:r>
              <w:t>E:16.02.04</w:t>
            </w:r>
          </w:p>
          <w:p>
            <w:r>
              <w:t>O:16.02.04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2019-N1QMS-1242345</w:t>
            </w:r>
          </w:p>
          <w:p>
            <w:r>
              <w:t>2019-N1EMS-1242345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未出现同类问题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pPr>
              <w:rPr>
                <w:highlight w:val="none"/>
              </w:rPr>
            </w:pPr>
            <w:r>
              <w:rPr>
                <w:rFonts w:hint="eastAsia"/>
                <w:highlight w:val="none"/>
              </w:rPr>
              <w:sym w:font="Wingdings 2" w:char="0052"/>
            </w:r>
            <w:r>
              <w:rPr>
                <w:rFonts w:hint="eastAsia"/>
                <w:highlight w:val="none"/>
              </w:rPr>
              <w:t>在完成纠正措施后推荐认证注册(□初审</w:t>
            </w:r>
            <w:r>
              <w:rPr>
                <w:rFonts w:hint="eastAsia"/>
                <w:highlight w:val="none"/>
              </w:rPr>
              <w:sym w:font="Wingdings 2" w:char="0052"/>
            </w:r>
            <w:r>
              <w:rPr>
                <w:rFonts w:hint="eastAsia"/>
                <w:highlight w:val="none"/>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pPr>
              <w:rPr>
                <w:highlight w:val="none"/>
              </w:rPr>
            </w:pPr>
            <w:r>
              <w:rPr>
                <w:rFonts w:hint="eastAsia"/>
                <w:highlight w:val="none"/>
              </w:rPr>
              <w:sym w:font="Wingdings 2" w:char="0052"/>
            </w:r>
            <w:r>
              <w:rPr>
                <w:rFonts w:hint="eastAsia"/>
                <w:highlight w:val="none"/>
              </w:rPr>
              <w:t>推荐保持认证注册(</w:t>
            </w:r>
            <w:r>
              <w:rPr>
                <w:rFonts w:hint="eastAsia"/>
                <w:highlight w:val="none"/>
              </w:rPr>
              <w:sym w:font="Wingdings 2" w:char="0052"/>
            </w:r>
            <w:r>
              <w:rPr>
                <w:rFonts w:hint="eastAsia"/>
                <w:highlight w:val="none"/>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8"/>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2" w:hRule="exact"/>
          <w:jc w:val="center"/>
        </w:trPr>
        <w:tc>
          <w:tcPr>
            <w:tcW w:w="1748"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280035</wp:posOffset>
                  </wp:positionH>
                  <wp:positionV relativeFrom="paragraph">
                    <wp:posOffset>184150</wp:posOffset>
                  </wp:positionV>
                  <wp:extent cx="596265" cy="295275"/>
                  <wp:effectExtent l="0" t="0" r="13335" b="9525"/>
                  <wp:wrapSquare wrapText="bothSides"/>
                  <wp:docPr id="1" name="图片 2"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杨珍全"/>
                          <pic:cNvPicPr>
                            <a:picLocks noChangeAspect="1"/>
                          </pic:cNvPicPr>
                        </pic:nvPicPr>
                        <pic:blipFill>
                          <a:blip r:embed="rId6"/>
                          <a:stretch>
                            <a:fillRect/>
                          </a:stretch>
                        </pic:blipFill>
                        <pic:spPr>
                          <a:xfrm>
                            <a:off x="0" y="0"/>
                            <a:ext cx="596265" cy="29527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2022年04月09日</w:t>
            </w:r>
          </w:p>
        </w:tc>
      </w:tr>
    </w:tbl>
    <w:p/>
    <w:p>
      <w:pPr>
        <w:pStyle w:val="12"/>
      </w:pPr>
    </w:p>
    <w:p>
      <w:pPr>
        <w:pStyle w:val="12"/>
      </w:pPr>
    </w:p>
    <w:p/>
    <w:p>
      <w:r>
        <w:rPr>
          <w:rFonts w:hint="eastAsia"/>
        </w:rPr>
        <w:t>十四、审核报告的发放范围：</w:t>
      </w:r>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A3"/>
            </w:r>
            <w:r>
              <w:rPr>
                <w:rFonts w:hint="eastAsia"/>
              </w:rPr>
              <w:t>生产/服务过程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宋体" w:hAnsi="宋体" w:eastAsia="宋体" w:cs="宋体"/>
                <w:color w:val="auto"/>
                <w:lang w:eastAsia="zh-CN"/>
              </w:rPr>
              <w:t>保证质量  及时交货  以客为尊，顾客满意</w:t>
            </w:r>
            <w:r>
              <w:rPr>
                <w:rFonts w:hint="eastAsia" w:ascii="宋体" w:hAnsi="宋体" w:cs="宋体"/>
                <w:color w:val="auto"/>
                <w:sz w:val="21"/>
                <w:szCs w:val="21"/>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eastAsia="宋体"/>
                      <w:highlight w:val="none"/>
                      <w:lang w:val="en-US" w:eastAsia="zh-CN"/>
                    </w:rPr>
                  </w:pPr>
                  <w:r>
                    <w:rPr>
                      <w:rFonts w:hint="eastAsia" w:ascii="宋体" w:hAnsi="宋体" w:eastAsia="宋体" w:cs="宋体"/>
                      <w:color w:val="auto"/>
                      <w:sz w:val="21"/>
                      <w:szCs w:val="21"/>
                      <w:highlight w:val="none"/>
                      <w:lang w:eastAsia="zh-CN"/>
                    </w:rPr>
                    <w:t>产品一次交验合格率≥98%</w:t>
                  </w:r>
                </w:p>
              </w:tc>
              <w:tc>
                <w:tcPr>
                  <w:tcW w:w="3136" w:type="dxa"/>
                  <w:shd w:val="clear" w:color="auto" w:fill="auto"/>
                  <w:vAlign w:val="top"/>
                </w:tcPr>
                <w:p>
                  <w:pPr>
                    <w:shd w:val="clear" w:color="auto" w:fill="C7DAF1" w:themeFill="text2" w:themeFillTint="32"/>
                    <w:rPr>
                      <w:rFonts w:hint="default" w:eastAsia="宋体"/>
                      <w:highlight w:val="none"/>
                      <w:lang w:val="en-US" w:eastAsia="zh-CN"/>
                    </w:rPr>
                  </w:pPr>
                  <w:r>
                    <w:rPr>
                      <w:rFonts w:hint="eastAsia" w:ascii="宋体" w:hAnsi="宋体" w:cs="宋体"/>
                      <w:kern w:val="0"/>
                      <w:sz w:val="20"/>
                      <w:szCs w:val="20"/>
                      <w:highlight w:val="none"/>
                    </w:rPr>
                    <w:t>产品合格数/交付数×100%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生技部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98</w:t>
                  </w:r>
                  <w:r>
                    <w:rPr>
                      <w:rFonts w:hint="eastAsia" w:ascii="宋体" w:hAnsi="宋体" w:eastAsia="宋体"/>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eastAsia="宋体"/>
                      <w:highlight w:val="none"/>
                      <w:lang w:val="en-US" w:eastAsia="zh-CN"/>
                    </w:rPr>
                  </w:pPr>
                  <w:r>
                    <w:rPr>
                      <w:rFonts w:hint="eastAsia" w:ascii="宋体" w:hAnsi="宋体" w:eastAsia="宋体" w:cs="宋体"/>
                      <w:color w:val="auto"/>
                      <w:sz w:val="21"/>
                      <w:szCs w:val="21"/>
                      <w:highlight w:val="none"/>
                      <w:lang w:eastAsia="zh-CN"/>
                    </w:rPr>
                    <w:t>顾客满意度≥9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p>
              </w:tc>
              <w:tc>
                <w:tcPr>
                  <w:tcW w:w="3136"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ascii="宋体" w:hAnsi="宋体" w:cs="宋体"/>
                      <w:kern w:val="0"/>
                      <w:sz w:val="20"/>
                      <w:szCs w:val="20"/>
                      <w:highlight w:val="none"/>
                      <w:lang w:eastAsia="zh-CN"/>
                    </w:rPr>
                    <w:t>合同履约数/总的合同数×100%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eastAsia="宋体"/>
                      <w:highlight w:val="none"/>
                      <w:lang w:val="en-US" w:eastAsia="zh-CN"/>
                    </w:rPr>
                  </w:pPr>
                  <w:r>
                    <w:rPr>
                      <w:rFonts w:hint="eastAsia" w:ascii="宋体" w:hAnsi="宋体" w:eastAsia="宋体" w:cs="宋体"/>
                      <w:color w:val="auto"/>
                      <w:sz w:val="21"/>
                      <w:szCs w:val="21"/>
                      <w:highlight w:val="none"/>
                      <w:lang w:eastAsia="zh-CN"/>
                    </w:rPr>
                    <w:t>合同履约率100%</w:t>
                  </w:r>
                </w:p>
              </w:tc>
              <w:tc>
                <w:tcPr>
                  <w:tcW w:w="3136" w:type="dxa"/>
                  <w:shd w:val="clear" w:color="auto" w:fill="auto"/>
                  <w:vAlign w:val="top"/>
                </w:tcPr>
                <w:p>
                  <w:pPr>
                    <w:shd w:val="clear" w:color="auto" w:fill="C7DAF1" w:themeFill="text2" w:themeFillTint="32"/>
                    <w:rPr>
                      <w:rFonts w:hint="default" w:eastAsia="宋体"/>
                      <w:highlight w:val="none"/>
                      <w:lang w:val="en-US" w:eastAsia="zh-CN"/>
                    </w:rPr>
                  </w:pPr>
                  <w:r>
                    <w:rPr>
                      <w:rFonts w:hint="eastAsia" w:ascii="宋体" w:hAnsi="宋体" w:cs="宋体"/>
                      <w:kern w:val="0"/>
                      <w:sz w:val="20"/>
                      <w:szCs w:val="20"/>
                      <w:highlight w:val="none"/>
                      <w:lang w:eastAsia="zh-CN"/>
                    </w:rPr>
                    <w:t>客户投诉处理数/客户投诉数×100%</w:t>
                  </w:r>
                </w:p>
              </w:tc>
              <w:tc>
                <w:tcPr>
                  <w:tcW w:w="1350" w:type="dxa"/>
                  <w:shd w:val="clear" w:color="auto" w:fill="auto"/>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p>
              </w:tc>
              <w:tc>
                <w:tcPr>
                  <w:tcW w:w="3136" w:type="dxa"/>
                  <w:shd w:val="clear" w:color="auto" w:fill="auto"/>
                  <w:vAlign w:val="center"/>
                </w:tcPr>
                <w:p>
                  <w:pPr>
                    <w:shd w:val="clear" w:color="auto" w:fill="C7DAF1" w:themeFill="text2" w:themeFillTint="32"/>
                    <w:rPr>
                      <w:rFonts w:ascii="宋体" w:hAnsi="宋体"/>
                      <w:highlight w:val="yellow"/>
                    </w:rPr>
                  </w:pPr>
                </w:p>
              </w:tc>
              <w:tc>
                <w:tcPr>
                  <w:tcW w:w="1350" w:type="dxa"/>
                  <w:shd w:val="clear" w:color="auto" w:fill="auto"/>
                  <w:vAlign w:val="center"/>
                </w:tcPr>
                <w:p>
                  <w:pPr>
                    <w:shd w:val="clear" w:color="auto" w:fill="C7DAF1" w:themeFill="text2" w:themeFillTint="32"/>
                    <w:rPr>
                      <w:rFonts w:ascii="宋体" w:hAnsi="宋体"/>
                      <w:highlight w:val="yellow"/>
                    </w:rPr>
                  </w:pPr>
                </w:p>
              </w:tc>
              <w:tc>
                <w:tcPr>
                  <w:tcW w:w="1774" w:type="dxa"/>
                  <w:shd w:val="clear" w:color="auto" w:fill="auto"/>
                  <w:vAlign w:val="center"/>
                </w:tcPr>
                <w:p>
                  <w:pPr>
                    <w:shd w:val="clear" w:color="auto" w:fill="C7DAF1" w:themeFill="text2" w:themeFillTint="32"/>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A3"/>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1500</w:t>
            </w:r>
            <w:r>
              <w:rPr>
                <w:rFonts w:hint="eastAsia"/>
              </w:rPr>
              <w:t>平方米；生产车间</w:t>
            </w:r>
            <w:r>
              <w:rPr>
                <w:rFonts w:hint="eastAsia"/>
                <w:lang w:val="en-US" w:eastAsia="zh-CN"/>
              </w:rPr>
              <w:t>1</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rFonts w:hint="eastAsia" w:ascii="宋体" w:hAnsi="宋体" w:cs="宋体"/>
                <w:sz w:val="21"/>
                <w:szCs w:val="21"/>
              </w:rPr>
            </w:pPr>
            <w:r>
              <w:rPr>
                <w:rFonts w:hint="eastAsia"/>
              </w:rPr>
              <w:t>主要生产设备有：</w:t>
            </w:r>
            <w:r>
              <w:rPr>
                <w:rFonts w:hint="eastAsia" w:ascii="宋体" w:hAnsi="宋体" w:cs="宋体"/>
                <w:sz w:val="21"/>
                <w:szCs w:val="21"/>
              </w:rPr>
              <w:t>办公设备、干粉砂浆全自动生产线、水泥胶砂搅拌机等等设施</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szCs w:val="21"/>
              </w:rPr>
              <w:t>电子</w:t>
            </w:r>
            <w:r>
              <w:rPr>
                <w:rFonts w:hint="eastAsia" w:ascii="宋体" w:hAnsi="宋体"/>
                <w:szCs w:val="21"/>
                <w:lang w:eastAsia="zh-CN"/>
              </w:rPr>
              <w:t>计价</w:t>
            </w:r>
            <w:r>
              <w:rPr>
                <w:rFonts w:hint="eastAsia" w:ascii="宋体" w:hAnsi="宋体"/>
                <w:szCs w:val="21"/>
              </w:rPr>
              <w:t>秤、电子天平、全自动水泥抗折抗压试验机、水泥浆稠度测定仪、维卡仪等</w:t>
            </w:r>
            <w:r>
              <w:rPr>
                <w:rFonts w:hint="eastAsia"/>
                <w:u w:val="single"/>
                <w:lang w:val="en-US" w:eastAsia="zh-CN"/>
              </w:rPr>
              <w:t>机</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sym w:font="Wingdings 2" w:char="00A3"/>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A3"/>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9"/>
              <w:gridCol w:w="252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r>
                    <w:rPr>
                      <w:rFonts w:hint="eastAsia"/>
                    </w:rPr>
                    <w:t>产品/服务名称</w:t>
                  </w:r>
                </w:p>
              </w:tc>
              <w:tc>
                <w:tcPr>
                  <w:tcW w:w="252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rPr>
                      <w:rFonts w:hint="default" w:eastAsia="宋体"/>
                      <w:lang w:val="en-US" w:eastAsia="zh-CN"/>
                    </w:rPr>
                  </w:pPr>
                  <w:r>
                    <w:rPr>
                      <w:sz w:val="20"/>
                    </w:rPr>
                    <w:t>水泥基灌浆、压浆材料的加工</w:t>
                  </w:r>
                </w:p>
              </w:tc>
              <w:tc>
                <w:tcPr>
                  <w:tcW w:w="2528" w:type="dxa"/>
                </w:tcPr>
                <w:p>
                  <w:pPr>
                    <w:shd w:val="clear" w:color="auto" w:fill="C7DAF1" w:themeFill="text2" w:themeFillTint="32"/>
                    <w:jc w:val="left"/>
                    <w:rPr>
                      <w:rFonts w:hint="default" w:eastAsia="宋体"/>
                      <w:lang w:val="en-US" w:eastAsia="zh-CN"/>
                    </w:rPr>
                  </w:pPr>
                  <w:r>
                    <w:rPr>
                      <w:rFonts w:hint="eastAsia" w:ascii="宋体" w:hAnsi="宋体" w:eastAsia="宋体" w:cs="Times New Roman"/>
                      <w:szCs w:val="21"/>
                    </w:rPr>
                    <w:t>配料、混合</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相关作业指导书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lang w:val="en-US" w:eastAsia="zh-CN"/>
              </w:rPr>
              <w:t>无</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A3"/>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sym w:font="Wingdings 2" w:char="00A3"/>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w:t>
            </w:r>
            <w:r>
              <w:rPr>
                <w:rFonts w:hint="eastAsia"/>
                <w:highlight w:val="none"/>
              </w:rPr>
              <w:t>》，如：</w:t>
            </w:r>
            <w:r>
              <w:rPr>
                <w:rFonts w:hint="eastAsia"/>
                <w:highlight w:val="none"/>
                <w:u w:val="single"/>
              </w:rPr>
              <w:t xml:space="preserve">  </w:t>
            </w:r>
            <w:r>
              <w:rPr>
                <w:rFonts w:hint="eastAsia" w:ascii="宋体" w:hAnsi="宋体" w:cs="Arial"/>
                <w:szCs w:val="21"/>
                <w:highlight w:val="none"/>
                <w:lang w:val="en-US" w:eastAsia="zh-CN"/>
              </w:rPr>
              <w:t>提供由招商局重庆公路工程检测中心有限公司出具的检测报告</w:t>
            </w:r>
            <w:r>
              <w:rPr>
                <w:rFonts w:hint="eastAsia"/>
                <w:highlight w:val="none"/>
                <w:u w:val="single"/>
              </w:rPr>
              <w:t xml:space="preserve">   </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tabs>
                <w:tab w:val="right" w:pos="9332"/>
              </w:tabs>
              <w:spacing w:line="340" w:lineRule="exact"/>
              <w:ind w:firstLine="420" w:firstLineChars="200"/>
            </w:pPr>
            <w:r>
              <w:rPr>
                <w:rFonts w:hint="eastAsia" w:ascii="Times New Roman" w:hAnsi="Times New Roman" w:eastAsia="宋体" w:cs="Times New Roman"/>
              </w:rPr>
              <w:t>组织已</w:t>
            </w:r>
            <w:r>
              <w:rPr>
                <w:rFonts w:hint="eastAsia" w:ascii="Times New Roman" w:hAnsi="Times New Roman" w:eastAsia="宋体" w:cs="Times New Roman"/>
              </w:rPr>
              <w:fldChar w:fldCharType="begin"/>
            </w:r>
            <w:r>
              <w:rPr>
                <w:rFonts w:hint="eastAsia" w:ascii="Times New Roman" w:hAnsi="Times New Roman" w:eastAsia="宋体" w:cs="Times New Roman"/>
              </w:rPr>
              <w:fldChar w:fldCharType="end"/>
            </w:r>
            <w:r>
              <w:rPr>
                <w:rFonts w:hint="eastAsia" w:ascii="Times New Roman" w:hAnsi="Times New Roman" w:eastAsia="宋体" w:cs="Times New Roman"/>
              </w:rPr>
              <w:t>通过年度策划于</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0</w:t>
            </w:r>
            <w:r>
              <w:rPr>
                <w:rFonts w:hint="eastAsia" w:cs="Times New Roman"/>
                <w:lang w:val="en-US" w:eastAsia="zh-CN"/>
              </w:rPr>
              <w:t>1</w:t>
            </w:r>
            <w:r>
              <w:rPr>
                <w:rFonts w:hint="eastAsia" w:ascii="Times New Roman" w:hAnsi="Times New Roman" w:eastAsia="宋体" w:cs="Times New Roman"/>
              </w:rPr>
              <w:t>月</w:t>
            </w:r>
            <w:r>
              <w:rPr>
                <w:rFonts w:hint="eastAsia" w:cs="Times New Roman"/>
                <w:lang w:val="en-US" w:eastAsia="zh-CN"/>
              </w:rPr>
              <w:t>25</w:t>
            </w:r>
            <w:r>
              <w:rPr>
                <w:rFonts w:hint="eastAsia" w:ascii="Times New Roman" w:hAnsi="Times New Roman" w:eastAsia="宋体" w:cs="Times New Roman"/>
              </w:rPr>
              <w:t>日实施了质量管理体系内部审核，对质量管理体系的符合性和有效性进行了审核。内审发现的</w:t>
            </w:r>
            <w:r>
              <w:rPr>
                <w:rFonts w:hint="eastAsia" w:ascii="Times New Roman" w:hAnsi="Times New Roman" w:eastAsia="宋体" w:cs="Times New Roman"/>
                <w:lang w:val="en-US" w:eastAsia="zh-CN"/>
              </w:rPr>
              <w:t>1</w:t>
            </w:r>
            <w:r>
              <w:rPr>
                <w:rFonts w:hint="eastAsia" w:ascii="Times New Roman" w:hAnsi="Times New Roman" w:eastAsia="宋体" w:cs="Times New Roman"/>
              </w:rPr>
              <w:t>项不</w:t>
            </w:r>
            <w:r>
              <w:rPr>
                <w:rFonts w:hint="eastAsia"/>
              </w:rPr>
              <w:t>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highlight w:val="none"/>
                <w:lang w:val="en-US" w:eastAsia="zh-CN"/>
              </w:rPr>
              <w:t>2022</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25</w:t>
            </w:r>
            <w:r>
              <w:rPr>
                <w:rFonts w:hint="eastAsia"/>
                <w:highlight w:val="none"/>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政治 □监管  □财务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rPr>
              <w:sym w:font="Wingdings 2" w:char="00A3"/>
            </w:r>
            <w:r>
              <w:rPr>
                <w:rFonts w:hint="eastAsia"/>
              </w:rPr>
              <w:t>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color w:val="000000"/>
                <w:szCs w:val="18"/>
                <w:u w:val="single"/>
              </w:rPr>
              <w:t xml:space="preserve"> </w:t>
            </w:r>
            <w:r>
              <w:rPr>
                <w:rFonts w:hint="eastAsia" w:ascii="宋体" w:hAnsi="宋体" w:eastAsia="宋体" w:cs="宋体"/>
                <w:color w:val="auto"/>
                <w:lang w:eastAsia="zh-CN"/>
              </w:rPr>
              <w:t>节能降耗，保护环境，以人为本，安全第一，预防为主，综合治理，规范管理，持续改进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w:t>
            </w:r>
            <w:r>
              <w:rPr>
                <w:rFonts w:hint="eastAsia"/>
              </w:rPr>
              <w:sym w:font="Wingdings 2" w:char="00A3"/>
            </w:r>
            <w:r>
              <w:rPr>
                <w:rFonts w:hint="eastAsia"/>
              </w:rPr>
              <w:t>废水排放</w:t>
            </w:r>
            <w:r>
              <w:rPr>
                <w:rFonts w:hint="eastAsia"/>
              </w:rPr>
              <w:sym w:font="Wingdings 2" w:char="00A3"/>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与其环境因素有关的</w:t>
            </w:r>
            <w:r>
              <w:rPr>
                <w:rFonts w:hint="eastAsia"/>
                <w:highlight w:val="none"/>
              </w:rPr>
              <w:t>文件化的</w:t>
            </w:r>
            <w:r>
              <w:rPr>
                <w:highlight w:val="none"/>
              </w:rPr>
              <w:t>合规义务；将这些合规义务应用于组织；在建立、实施、保持和持续改进其环境管理体系时必须考虑这些合规义务。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□安全生产许可证编号：</w:t>
            </w:r>
          </w:p>
          <w:p>
            <w:pPr>
              <w:shd w:val="clear" w:color="auto" w:fill="EBF1DE" w:themeFill="accent3" w:themeFillTint="32"/>
              <w:rPr>
                <w:highlight w:val="none"/>
              </w:rPr>
            </w:pPr>
            <w:r>
              <w:rPr>
                <w:rFonts w:hint="eastAsia"/>
                <w:highlight w:val="none"/>
              </w:rPr>
              <w:t>□排污许可证编号：</w:t>
            </w:r>
          </w:p>
          <w:p>
            <w:pPr>
              <w:shd w:val="clear" w:color="auto" w:fill="EBF1DE" w:themeFill="accent3" w:themeFillTint="32"/>
              <w:rPr>
                <w:highlight w:val="none"/>
              </w:rPr>
            </w:pPr>
            <w:r>
              <w:rPr>
                <w:rFonts w:hint="eastAsia"/>
                <w:highlight w:val="none"/>
              </w:rPr>
              <w:t>□环境影响登记表日期：</w:t>
            </w:r>
          </w:p>
          <w:p>
            <w:pPr>
              <w:shd w:val="clear" w:color="auto" w:fill="EBF1DE" w:themeFill="accent3" w:themeFillTint="32"/>
              <w:rPr>
                <w:highlight w:val="none"/>
              </w:rPr>
            </w:pPr>
            <w:r>
              <w:rPr>
                <w:rFonts w:hint="eastAsia"/>
                <w:highlight w:val="none"/>
              </w:rPr>
              <w:sym w:font="Wingdings 2" w:char="00A3"/>
            </w:r>
            <w:r>
              <w:rPr>
                <w:rFonts w:hint="eastAsia"/>
                <w:highlight w:val="none"/>
              </w:rPr>
              <w:t>环境影响报告表日期：</w:t>
            </w:r>
          </w:p>
          <w:p>
            <w:pPr>
              <w:shd w:val="clear" w:color="auto" w:fill="EBF1DE" w:themeFill="accent3" w:themeFillTint="32"/>
              <w:rPr>
                <w:highlight w:val="none"/>
              </w:rPr>
            </w:pPr>
            <w:r>
              <w:rPr>
                <w:rFonts w:hint="eastAsia"/>
                <w:highlight w:val="none"/>
              </w:rPr>
              <w:sym w:font="Wingdings 2" w:char="00A3"/>
            </w:r>
            <w:r>
              <w:rPr>
                <w:rFonts w:hint="eastAsia"/>
                <w:highlight w:val="none"/>
              </w:rPr>
              <w:t>环境影响报告书日期：</w:t>
            </w:r>
          </w:p>
          <w:p>
            <w:pPr>
              <w:shd w:val="clear" w:color="auto" w:fill="EBF1DE" w:themeFill="accent3" w:themeFillTint="32"/>
              <w:rPr>
                <w:highlight w:val="none"/>
              </w:rPr>
            </w:pPr>
            <w:r>
              <w:rPr>
                <w:rFonts w:hint="eastAsia"/>
                <w:highlight w:val="none"/>
              </w:rPr>
              <w:t>□消防验收/备案证明日期：</w:t>
            </w:r>
          </w:p>
          <w:p>
            <w:pPr>
              <w:shd w:val="clear" w:color="auto" w:fill="EBF1DE" w:themeFill="accent3" w:themeFillTint="32"/>
              <w:rPr>
                <w:highlight w:val="none"/>
              </w:rPr>
            </w:pPr>
            <w:r>
              <w:rPr>
                <w:rFonts w:hint="eastAsia"/>
                <w:highlight w:val="none"/>
              </w:rPr>
              <w:sym w:font="Wingdings 2" w:char="0052"/>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组织策划并采取措施管理其重要环境因素、合规义务和识别的风险和机遇；</w:t>
            </w:r>
          </w:p>
          <w:p>
            <w:pPr>
              <w:shd w:val="clear" w:color="auto" w:fill="EBF1DE" w:themeFill="accent3" w:themeFillTint="32"/>
              <w:rPr>
                <w:highlight w:val="none"/>
              </w:rPr>
            </w:pPr>
            <w:r>
              <w:rPr>
                <w:rFonts w:hint="eastAsia"/>
                <w:highlight w:val="none"/>
              </w:rPr>
              <w:sym w:font="Wingdings 2" w:char="00A3"/>
            </w:r>
            <w:r>
              <w:rPr>
                <w:rFonts w:hint="eastAsia"/>
                <w:highlight w:val="none"/>
              </w:rPr>
              <w:t>污水处理</w:t>
            </w:r>
            <w:r>
              <w:rPr>
                <w:rFonts w:hint="eastAsia"/>
                <w:highlight w:val="none"/>
              </w:rPr>
              <w:sym w:font="Wingdings 2" w:char="0052"/>
            </w:r>
            <w:r>
              <w:rPr>
                <w:rFonts w:hint="eastAsia"/>
                <w:highlight w:val="none"/>
              </w:rPr>
              <w:t>除尘设备</w:t>
            </w:r>
            <w:r>
              <w:rPr>
                <w:rFonts w:hint="eastAsia"/>
                <w:highlight w:val="none"/>
              </w:rPr>
              <w:sym w:font="Wingdings 2" w:char="0052"/>
            </w:r>
            <w:r>
              <w:rPr>
                <w:rFonts w:hint="eastAsia"/>
                <w:highlight w:val="none"/>
              </w:rPr>
              <w:t>设备降噪</w:t>
            </w:r>
            <w:r>
              <w:rPr>
                <w:rFonts w:hint="eastAsia"/>
                <w:highlight w:val="none"/>
              </w:rPr>
              <w:sym w:font="Wingdings 2" w:char="00A3"/>
            </w:r>
            <w:r>
              <w:rPr>
                <w:rFonts w:hint="eastAsia"/>
                <w:highlight w:val="none"/>
              </w:rPr>
              <w:t>危废合法处置</w:t>
            </w:r>
            <w:r>
              <w:rPr>
                <w:rFonts w:hint="eastAsia"/>
                <w:highlight w:val="none"/>
              </w:rPr>
              <w:sym w:font="Wingdings 2" w:char="00A3"/>
            </w:r>
            <w:r>
              <w:rPr>
                <w:rFonts w:hint="eastAsia"/>
                <w:highlight w:val="none"/>
              </w:rPr>
              <w:t>使用节能设备□危化品控制</w:t>
            </w:r>
          </w:p>
          <w:p>
            <w:pPr>
              <w:shd w:val="clear" w:color="auto" w:fill="EBF1DE" w:themeFill="accent3" w:themeFillTint="32"/>
              <w:rPr>
                <w:highlight w:val="none"/>
              </w:rPr>
            </w:pPr>
            <w:r>
              <w:rPr>
                <w:rFonts w:hint="eastAsia"/>
                <w:highlight w:val="none"/>
              </w:rPr>
              <w:sym w:font="Wingdings 2" w:char="00A3"/>
            </w:r>
            <w:r>
              <w:rPr>
                <w:rFonts w:hint="eastAsia"/>
                <w:highlight w:val="none"/>
              </w:rPr>
              <w:t>压力容器检测</w:t>
            </w:r>
            <w:r>
              <w:rPr>
                <w:rFonts w:hint="eastAsia"/>
                <w:highlight w:val="none"/>
              </w:rPr>
              <w:sym w:font="Wingdings 2" w:char="00A3"/>
            </w:r>
            <w:r>
              <w:rPr>
                <w:rFonts w:hint="eastAsia"/>
                <w:highlight w:val="none"/>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271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11"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shd w:val="clear" w:color="auto" w:fill="auto"/>
                  <w:vAlign w:val="center"/>
                </w:tcPr>
                <w:p>
                  <w:pPr>
                    <w:numPr>
                      <w:ilvl w:val="0"/>
                      <w:numId w:val="0"/>
                    </w:numPr>
                    <w:spacing w:line="400" w:lineRule="exact"/>
                    <w:rPr>
                      <w:rFonts w:hint="eastAsia" w:ascii="Times New Roman" w:hAnsi="Times New Roman" w:eastAsia="宋体" w:cs="Times New Roman"/>
                      <w:highlight w:val="none"/>
                      <w:lang w:val="en-US" w:eastAsia="zh-CN"/>
                    </w:rPr>
                  </w:pPr>
                  <w:r>
                    <w:rPr>
                      <w:rFonts w:hint="eastAsia" w:ascii="宋体" w:hAnsi="宋体" w:eastAsia="宋体" w:cs="Times New Roman"/>
                      <w:color w:val="auto"/>
                      <w:szCs w:val="21"/>
                      <w:highlight w:val="none"/>
                      <w:lang w:eastAsia="zh-CN"/>
                    </w:rPr>
                    <w:t>固体分类收集,集中处理100%</w:t>
                  </w:r>
                </w:p>
              </w:tc>
              <w:tc>
                <w:tcPr>
                  <w:tcW w:w="2711"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GB" w:eastAsia="zh-CN"/>
                    </w:rPr>
                  </w:pPr>
                  <w:r>
                    <w:rPr>
                      <w:rFonts w:hint="eastAsia" w:ascii="Times New Roman" w:hAnsi="Times New Roman" w:eastAsia="宋体" w:cs="Times New Roman"/>
                      <w:highlight w:val="none"/>
                      <w:lang w:val="en-US" w:eastAsia="zh-CN"/>
                    </w:rPr>
                    <w:t>分类收集，集中处理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综合部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shd w:val="clear" w:color="auto" w:fill="auto"/>
                  <w:vAlign w:val="center"/>
                </w:tcPr>
                <w:p>
                  <w:pPr>
                    <w:numPr>
                      <w:ilvl w:val="0"/>
                      <w:numId w:val="0"/>
                    </w:numPr>
                    <w:spacing w:line="400" w:lineRule="exact"/>
                    <w:rPr>
                      <w:rFonts w:hint="default" w:ascii="Times New Roman" w:hAnsi="Times New Roman" w:eastAsia="宋体" w:cs="Times New Roman"/>
                      <w:highlight w:val="none"/>
                      <w:lang w:val="en-US" w:eastAsia="zh-CN"/>
                    </w:rPr>
                  </w:pPr>
                  <w:r>
                    <w:rPr>
                      <w:rFonts w:hint="eastAsia" w:ascii="宋体" w:hAnsi="宋体" w:eastAsia="宋体" w:cs="Times New Roman"/>
                      <w:color w:val="auto"/>
                      <w:szCs w:val="21"/>
                      <w:highlight w:val="none"/>
                      <w:lang w:eastAsia="zh-CN"/>
                    </w:rPr>
                    <w:t>重要环境污染事故为0</w:t>
                  </w:r>
                </w:p>
              </w:tc>
              <w:tc>
                <w:tcPr>
                  <w:tcW w:w="2711"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rPr>
                  </w:pPr>
                  <w:r>
                    <w:rPr>
                      <w:rFonts w:hint="eastAsia" w:ascii="Times New Roman" w:hAnsi="Times New Roman" w:eastAsia="宋体" w:cs="Times New Roman"/>
                      <w:highlight w:val="none"/>
                      <w:lang w:val="en-US" w:eastAsia="zh-CN"/>
                    </w:rPr>
                    <w:t>建立预案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综合部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eastAsia="zh-CN"/>
                    </w:rPr>
                    <w:t>火灾事故为零</w:t>
                  </w:r>
                </w:p>
              </w:tc>
              <w:tc>
                <w:tcPr>
                  <w:tcW w:w="2711" w:type="dxa"/>
                  <w:shd w:val="clear" w:color="auto" w:fill="auto"/>
                  <w:vAlign w:val="center"/>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综合部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shd w:val="clear" w:color="auto" w:fill="auto"/>
                </w:tcPr>
                <w:p>
                  <w:pPr>
                    <w:shd w:val="clear" w:color="auto" w:fill="EBF1DE" w:themeFill="accent3" w:themeFillTint="32"/>
                  </w:pPr>
                </w:p>
              </w:tc>
              <w:tc>
                <w:tcPr>
                  <w:tcW w:w="2711"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1500</w:t>
            </w:r>
            <w:r>
              <w:rPr>
                <w:rFonts w:hint="eastAsia"/>
              </w:rPr>
              <w:t>平方米；生产车间</w:t>
            </w:r>
            <w:r>
              <w:rPr>
                <w:rFonts w:hint="eastAsia"/>
                <w:lang w:val="en-US" w:eastAsia="zh-CN"/>
              </w:rPr>
              <w:t xml:space="preserve"> 1</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ascii="宋体" w:hAnsi="宋体" w:cs="宋体"/>
                <w:szCs w:val="21"/>
                <w:highlight w:val="none"/>
                <w:lang w:eastAsia="zh-CN"/>
              </w:rPr>
              <w:t>办公设备、</w:t>
            </w:r>
            <w:r>
              <w:rPr>
                <w:rFonts w:hint="eastAsia" w:ascii="宋体" w:hAnsi="宋体" w:cs="宋体"/>
                <w:sz w:val="21"/>
                <w:szCs w:val="21"/>
              </w:rPr>
              <w:t>干粉砂浆全自动生产线、水泥胶砂搅拌机等</w:t>
            </w:r>
            <w:r>
              <w:rPr>
                <w:rFonts w:hint="eastAsia" w:ascii="宋体" w:hAnsi="宋体" w:cs="宋体"/>
                <w:szCs w:val="21"/>
                <w:highlight w:val="none"/>
                <w:lang w:eastAsia="zh-CN"/>
              </w:rPr>
              <w:t>等设施</w:t>
            </w:r>
          </w:p>
          <w:p>
            <w:pPr>
              <w:shd w:val="clear" w:color="auto" w:fill="EBF1DE" w:themeFill="accent3" w:themeFillTint="32"/>
              <w:rPr>
                <w:rFonts w:hint="default" w:eastAsia="宋体"/>
                <w:u w:val="single"/>
                <w:lang w:val="en-US" w:eastAsia="zh-CN"/>
              </w:rPr>
            </w:pPr>
            <w:r>
              <w:rPr>
                <w:rFonts w:hint="eastAsia"/>
              </w:rPr>
              <w:t>主要环保设备有：</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A3"/>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ascii="宋体" w:hAnsi="宋体"/>
                <w:szCs w:val="21"/>
              </w:rPr>
              <w:t>电子天平、全自动水泥抗折抗压试验机、水泥浆稠度测定仪、维卡仪</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A3"/>
            </w:r>
            <w:r>
              <w:rPr>
                <w:rFonts w:hint="eastAsia"/>
              </w:rPr>
              <w:t>合同约定</w:t>
            </w:r>
            <w:r>
              <w:rPr>
                <w:rFonts w:hint="eastAsia" w:ascii="Wingdings" w:hAnsi="Wingdings"/>
                <w:lang w:eastAsia="zh-CN"/>
              </w:rPr>
              <w:sym w:font="Wingdings 2" w:char="00A3"/>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sym w:font="Wingdings 2" w:char="00A3"/>
            </w:r>
            <w:r>
              <w:rPr>
                <w:rFonts w:hint="eastAsia"/>
              </w:rPr>
              <w:t>图纸</w:t>
            </w:r>
            <w:r>
              <w:rPr>
                <w:rFonts w:hint="eastAsia" w:ascii="Wingdings" w:hAnsi="Wingdings"/>
                <w:lang w:eastAsia="zh-CN"/>
              </w:rPr>
              <w:sym w:font="Wingdings 2" w:char="00A3"/>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组织识别了环境的潜在紧急情况及应急准备并做出响应所需的过程。对实际发生的紧急情况做出响应；以预防或减轻它所带来的有害环境影响；</w:t>
            </w:r>
          </w:p>
          <w:p>
            <w:pPr>
              <w:shd w:val="clear" w:color="auto" w:fill="EBF1DE" w:themeFill="accent3" w:themeFillTint="32"/>
              <w:rPr>
                <w:highlight w:val="none"/>
              </w:rPr>
            </w:pPr>
            <w:r>
              <w:rPr>
                <w:rFonts w:hint="eastAsia"/>
                <w:highlight w:val="none"/>
              </w:rPr>
              <w:t>制订的应急预案包括：</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火灾控制</w:t>
            </w:r>
            <w:r>
              <w:rPr>
                <w:rFonts w:hint="eastAsia" w:ascii="Wingdings" w:hAnsi="Wingdings"/>
                <w:highlight w:val="none"/>
                <w:lang w:eastAsia="zh-CN"/>
              </w:rPr>
              <w:t>□</w:t>
            </w:r>
            <w:r>
              <w:rPr>
                <w:rFonts w:hint="eastAsia"/>
                <w:highlight w:val="none"/>
              </w:rPr>
              <w:t>危化品泄露</w:t>
            </w:r>
            <w:r>
              <w:rPr>
                <w:rFonts w:hint="eastAsia" w:ascii="Wingdings" w:hAnsi="Wingdings"/>
                <w:highlight w:val="none"/>
                <w:lang w:eastAsia="zh-CN"/>
              </w:rPr>
              <w:t>□</w:t>
            </w:r>
            <w:r>
              <w:rPr>
                <w:rFonts w:hint="eastAsia"/>
                <w:highlight w:val="none"/>
              </w:rPr>
              <w:t>锅炉爆炸</w:t>
            </w:r>
            <w:r>
              <w:rPr>
                <w:rFonts w:hint="eastAsia" w:ascii="Wingdings" w:hAnsi="Wingdings"/>
                <w:highlight w:val="none"/>
                <w:lang w:eastAsia="zh-CN"/>
              </w:rPr>
              <w:t>□</w:t>
            </w:r>
            <w:r>
              <w:rPr>
                <w:rFonts w:hint="eastAsia"/>
                <w:highlight w:val="none"/>
              </w:rPr>
              <w:t>环保设备故障</w:t>
            </w:r>
            <w:r>
              <w:rPr>
                <w:rFonts w:hint="eastAsia" w:ascii="Wingdings" w:hAnsi="Wingdings"/>
                <w:highlight w:val="none"/>
                <w:lang w:eastAsia="zh-CN"/>
              </w:rPr>
              <w:t>□</w:t>
            </w:r>
            <w:r>
              <w:rPr>
                <w:rFonts w:hint="eastAsia"/>
                <w:highlight w:val="none"/>
              </w:rPr>
              <w:t>停水停电</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未发生</w:t>
            </w:r>
            <w:r>
              <w:rPr>
                <w:rFonts w:hint="eastAsia" w:ascii="Wingdings" w:hAnsi="Wingdings"/>
                <w:highlight w:val="none"/>
                <w:lang w:eastAsia="zh-CN"/>
              </w:rPr>
              <w:t>□</w:t>
            </w:r>
            <w:r>
              <w:rPr>
                <w:rFonts w:hint="eastAsia"/>
                <w:highlight w:val="none"/>
              </w:rPr>
              <w:t>已发生：。</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于</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20</w:t>
            </w:r>
            <w:r>
              <w:rPr>
                <w:rFonts w:hint="eastAsia"/>
                <w:highlight w:val="none"/>
              </w:rPr>
              <w:t>日进行了</w:t>
            </w:r>
            <w:r>
              <w:rPr>
                <w:rFonts w:hint="eastAsia"/>
                <w:highlight w:val="none"/>
                <w:lang w:val="en-US" w:eastAsia="zh-CN"/>
              </w:rPr>
              <w:t>火灾应急</w:t>
            </w:r>
            <w:r>
              <w:rPr>
                <w:rFonts w:hint="eastAsia"/>
                <w:highlight w:val="none"/>
              </w:rPr>
              <w:t>的演练；并总结了预案的可行性和有效性。</w:t>
            </w:r>
          </w:p>
          <w:p>
            <w:pPr>
              <w:shd w:val="clear" w:color="auto" w:fill="EBF1DE" w:themeFill="accent3" w:themeFillTint="32"/>
              <w:rPr>
                <w:highlight w:val="none"/>
              </w:rPr>
            </w:pPr>
            <w:r>
              <w:rPr>
                <w:rFonts w:hint="eastAsia"/>
                <w:highlight w:val="none"/>
              </w:rPr>
              <w:t>定期评审并修订过程和策划的响应措施，特别是发生紧急情况后或进行试验后；</w:t>
            </w:r>
          </w:p>
          <w:p>
            <w:pPr>
              <w:shd w:val="clear" w:color="auto" w:fill="EBF1DE" w:themeFill="accent3" w:themeFillTint="32"/>
              <w:rPr>
                <w:highlight w:val="none"/>
              </w:rPr>
            </w:pPr>
            <w:r>
              <w:rPr>
                <w:rFonts w:hint="eastAsia"/>
                <w:highlight w:val="none"/>
              </w:rPr>
              <w:t>向环境有关的相关方，包括在组织控制下工作的人员提供应急准备和响应相关的信息和培训。</w:t>
            </w:r>
          </w:p>
          <w:p>
            <w:pPr>
              <w:shd w:val="clear" w:color="auto" w:fill="EBF1DE" w:themeFill="accent3" w:themeFillTint="32"/>
              <w:rPr>
                <w:highlight w:val="none"/>
              </w:rPr>
            </w:pPr>
            <w:r>
              <w:rPr>
                <w:rFonts w:hint="eastAsia"/>
                <w:highlight w:val="none"/>
              </w:rPr>
              <w:t>应急准备和响应控制：</w:t>
            </w:r>
            <w:r>
              <w:rPr>
                <w:rFonts w:hint="eastAsia" w:ascii="宋体" w:hAnsi="宋体" w:eastAsia="宋体" w:cs="宋体"/>
                <w:highlight w:val="none"/>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hint="eastAsia" w:ascii="宋体" w:hAnsi="宋体" w:eastAsia="宋体" w:cs="宋体"/>
                <w:highlight w:val="none"/>
              </w:rPr>
              <w:t>■</w:t>
            </w:r>
            <w:r>
              <w:rPr>
                <w:rFonts w:hint="eastAsia"/>
                <w:highlight w:val="none"/>
              </w:rPr>
              <w:t>定期（每年）：</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22</w:t>
            </w:r>
            <w:r>
              <w:rPr>
                <w:rFonts w:hint="eastAsia"/>
                <w:highlight w:val="none"/>
              </w:rPr>
              <w:t>日</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特殊情况（法规变化）：年月日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sym w:font="Wingdings 2" w:char="00A3"/>
            </w:r>
            <w:r>
              <w:rPr>
                <w:rFonts w:hint="eastAsia"/>
                <w:highlight w:val="none"/>
              </w:rPr>
              <w:t>企业自检</w:t>
            </w:r>
            <w:r>
              <w:rPr>
                <w:rFonts w:hint="eastAsia" w:ascii="Wingdings" w:hAnsi="Wingdings"/>
                <w:highlight w:val="none"/>
                <w:lang w:eastAsia="zh-CN"/>
              </w:rPr>
              <w:sym w:font="Wingdings 2" w:char="00A3"/>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rFonts w:hint="eastAsia"/>
                <w:highlight w:val="none"/>
              </w:rPr>
            </w:pPr>
          </w:p>
          <w:p>
            <w:pPr>
              <w:shd w:val="clear" w:color="auto" w:fill="EBF1DE" w:themeFill="accent3" w:themeFillTint="32"/>
              <w:rPr>
                <w:rFonts w:hint="default"/>
                <w:highlight w:val="none"/>
                <w:lang w:val="en-US" w:eastAsia="zh-CN"/>
              </w:rPr>
            </w:pPr>
            <w:r>
              <w:rPr>
                <w:rFonts w:hint="eastAsia"/>
                <w:highlight w:val="none"/>
              </w:rPr>
              <w:t>《环境监测报告》编号：</w:t>
            </w:r>
          </w:p>
          <w:p>
            <w:pPr>
              <w:shd w:val="clear" w:color="auto" w:fill="EBF1DE" w:themeFill="accent3" w:themeFillTint="32"/>
              <w:rPr>
                <w:rFonts w:hint="eastAsia"/>
                <w:highlight w:val="none"/>
              </w:rPr>
            </w:pPr>
            <w:r>
              <w:rPr>
                <w:rFonts w:hint="eastAsia"/>
                <w:highlight w:val="none"/>
              </w:rPr>
              <w:t>《建筑消防检测报告》编号：。</w:t>
            </w:r>
          </w:p>
          <w:p>
            <w:pPr>
              <w:shd w:val="clear" w:color="auto" w:fill="EBF1DE" w:themeFill="accent3" w:themeFillTint="32"/>
              <w:rPr>
                <w:rFonts w:hint="eastAsia" w:eastAsia="宋体"/>
                <w:highlight w:val="none"/>
                <w:lang w:eastAsia="zh-CN"/>
              </w:rPr>
            </w:pPr>
            <w:r>
              <w:rPr>
                <w:rFonts w:hint="eastAsia"/>
                <w:highlight w:val="none"/>
              </w:rPr>
              <w:t>达标评价：</w:t>
            </w:r>
            <w:r>
              <w:rPr>
                <w:rFonts w:hint="eastAsia"/>
                <w:highlight w:val="none"/>
                <w:lang w:eastAsia="zh-CN"/>
              </w:rPr>
              <w:sym w:font="Wingdings 2" w:char="00A3"/>
            </w:r>
            <w:r>
              <w:rPr>
                <w:rFonts w:hint="eastAsia"/>
                <w:highlight w:val="none"/>
              </w:rPr>
              <w:t>符合要求</w:t>
            </w:r>
            <w:r>
              <w:rPr>
                <w:rFonts w:hint="eastAsia"/>
                <w:highlight w:val="none"/>
                <w:lang w:eastAsia="zh-CN"/>
              </w:rPr>
              <w:sym w:font="Wingdings 2" w:char="00A3"/>
            </w:r>
            <w:r>
              <w:rPr>
                <w:rFonts w:hint="eastAsia"/>
                <w:highlight w:val="none"/>
              </w:rPr>
              <w:t>存在不足，说明</w:t>
            </w:r>
            <w:r>
              <w:rPr>
                <w:rFonts w:hint="eastAsia"/>
                <w:highlight w:val="none"/>
                <w:lang w:eastAsia="zh-CN"/>
              </w:rPr>
              <w:t>：</w:t>
            </w:r>
            <w:r>
              <w:rPr>
                <w:rFonts w:hint="eastAsia"/>
                <w:highlight w:val="none"/>
                <w:lang w:val="en-US" w:eastAsia="zh-CN"/>
              </w:rPr>
              <w:t>未能提供相关报告，已开具不符合。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ascii="Times New Roman" w:hAnsi="Times New Roman" w:eastAsia="宋体" w:cs="Times New Roman"/>
              </w:rPr>
              <w:t>于</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rPr>
              <w:t>月</w:t>
            </w:r>
            <w:r>
              <w:rPr>
                <w:rFonts w:hint="eastAsia" w:cs="Times New Roman"/>
                <w:lang w:val="en-US" w:eastAsia="zh-CN"/>
              </w:rPr>
              <w:t>25</w:t>
            </w:r>
            <w:r>
              <w:rPr>
                <w:rFonts w:hint="eastAsia" w:ascii="Times New Roman" w:hAnsi="Times New Roman" w:eastAsia="宋体" w:cs="Times New Roman"/>
              </w:rPr>
              <w:t>日实施</w:t>
            </w:r>
            <w:r>
              <w:rPr>
                <w:rFonts w:hint="eastAsia"/>
              </w:rPr>
              <w:t>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rPr>
              <w:t>EMS体系建立以来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A3"/>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A3"/>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宋体" w:hAnsi="宋体" w:eastAsia="宋体" w:cs="宋体"/>
                <w:color w:val="auto"/>
                <w:szCs w:val="21"/>
                <w:lang w:eastAsia="zh-CN"/>
              </w:rPr>
            </w:pPr>
            <w:r>
              <w:rPr>
                <w:rFonts w:hint="eastAsia"/>
              </w:rPr>
              <w:t>最高管理者制定了文件化的职业健康安全管理体系方针：</w:t>
            </w:r>
            <w:r>
              <w:rPr>
                <w:rFonts w:hint="eastAsia" w:ascii="宋体" w:hAnsi="宋体" w:eastAsia="宋体" w:cs="宋体"/>
                <w:color w:val="auto"/>
                <w:lang w:eastAsia="zh-CN"/>
              </w:rPr>
              <w:t>节能降耗，保护环境，以人为本，安全第一，预防为主，综合治理，规范管理，持续改进</w:t>
            </w:r>
            <w:r>
              <w:rPr>
                <w:rFonts w:hint="eastAsia" w:ascii="宋体" w:hAnsi="宋体" w:cs="宋体"/>
                <w:color w:val="auto"/>
                <w:szCs w:val="21"/>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Times New Roman"/>
              </w:rPr>
              <w:t>—</w:t>
            </w:r>
            <w:r>
              <w:rPr>
                <w:rFonts w:hint="eastAsia" w:ascii="宋体" w:hAnsi="宋体" w:cs="宋体"/>
                <w:color w:val="auto"/>
                <w:szCs w:val="21"/>
                <w:lang w:eastAsia="zh-CN"/>
              </w:rPr>
              <w:t>覃开华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作业过程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A3"/>
            </w:r>
            <w:r>
              <w:rPr>
                <w:rFonts w:hint="eastAsia"/>
              </w:rPr>
              <w:t>机械伤害</w:t>
            </w:r>
            <w:r>
              <w:rPr>
                <w:rFonts w:hint="eastAsia"/>
              </w:rPr>
              <w:sym w:font="Wingdings 2" w:char="00A3"/>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t>组织定期确定并获取</w:t>
            </w:r>
            <w:r>
              <w:rPr>
                <w:rFonts w:hint="eastAsia"/>
              </w:rPr>
              <w:t>了</w:t>
            </w:r>
            <w:r>
              <w:t>与其</w:t>
            </w:r>
            <w:r>
              <w:rPr>
                <w:rFonts w:hint="eastAsia"/>
              </w:rPr>
              <w:t>危险</w:t>
            </w:r>
            <w:r>
              <w:rPr>
                <w:rFonts w:hint="eastAsia"/>
                <w:highlight w:val="none"/>
              </w:rPr>
              <w:t>源</w:t>
            </w:r>
            <w:r>
              <w:rPr>
                <w:highlight w:val="none"/>
              </w:rPr>
              <w:t>有关的</w:t>
            </w:r>
            <w:r>
              <w:rPr>
                <w:rFonts w:hint="eastAsia"/>
                <w:highlight w:val="none"/>
              </w:rPr>
              <w:t>文件化的</w:t>
            </w:r>
            <w:r>
              <w:rPr>
                <w:highlight w:val="none"/>
              </w:rPr>
              <w:t>法律法规要求和其他要求；将这些法律法规要求和其他要求应用于组织；在建立、实施、保持和持续改进其</w:t>
            </w:r>
            <w:r>
              <w:rPr>
                <w:rFonts w:hint="eastAsia"/>
                <w:highlight w:val="none"/>
              </w:rPr>
              <w:t>职业健康安全</w:t>
            </w:r>
            <w:r>
              <w:rPr>
                <w:highlight w:val="none"/>
              </w:rPr>
              <w:t>管理体系时必须考虑这些法律法规要求和其他要求。</w:t>
            </w:r>
          </w:p>
          <w:p>
            <w:pPr>
              <w:rPr>
                <w:highlight w:val="none"/>
              </w:rPr>
            </w:pPr>
            <w:r>
              <w:rPr>
                <w:highlight w:val="none"/>
              </w:rPr>
              <w:t>组织</w:t>
            </w:r>
            <w:r>
              <w:rPr>
                <w:rFonts w:hint="eastAsia"/>
                <w:highlight w:val="none"/>
              </w:rPr>
              <w:t>提供了</w:t>
            </w:r>
            <w:r>
              <w:rPr>
                <w:highlight w:val="none"/>
              </w:rPr>
              <w:t>下列许可和授权(必要时，按每个场所来描述):</w:t>
            </w:r>
          </w:p>
          <w:p>
            <w:pPr>
              <w:rPr>
                <w:highlight w:val="none"/>
              </w:rPr>
            </w:pPr>
            <w:r>
              <w:rPr>
                <w:rFonts w:hint="eastAsia"/>
                <w:highlight w:val="none"/>
              </w:rPr>
              <w:t>□安全生产许可证编号：</w:t>
            </w:r>
          </w:p>
          <w:p>
            <w:pPr>
              <w:rPr>
                <w:highlight w:val="none"/>
              </w:rPr>
            </w:pPr>
            <w:r>
              <w:rPr>
                <w:rFonts w:hint="eastAsia"/>
                <w:highlight w:val="none"/>
              </w:rPr>
              <w:t>□安全预评估报告日期：</w:t>
            </w:r>
          </w:p>
          <w:p>
            <w:pPr>
              <w:rPr>
                <w:rFonts w:hint="default" w:eastAsia="宋体"/>
                <w:highlight w:val="none"/>
                <w:lang w:val="en-US" w:eastAsia="zh-CN"/>
              </w:rPr>
            </w:pPr>
            <w:r>
              <w:rPr>
                <w:rFonts w:hint="eastAsia"/>
                <w:highlight w:val="none"/>
              </w:rPr>
              <w:sym w:font="Wingdings 2" w:char="0052"/>
            </w:r>
            <w:r>
              <w:rPr>
                <w:rFonts w:hint="eastAsia"/>
                <w:highlight w:val="none"/>
              </w:rPr>
              <w:t>安全现状评估报告表日期：</w:t>
            </w:r>
            <w:r>
              <w:rPr>
                <w:rFonts w:hint="eastAsia"/>
                <w:highlight w:val="none"/>
                <w:lang w:val="en-US" w:eastAsia="zh-CN"/>
              </w:rPr>
              <w:t>2021年11月09日</w:t>
            </w:r>
          </w:p>
          <w:p>
            <w:pPr>
              <w:rPr>
                <w:rFonts w:hint="default" w:eastAsia="宋体"/>
                <w:highlight w:val="none"/>
                <w:lang w:val="en-US" w:eastAsia="zh-CN"/>
              </w:rPr>
            </w:pPr>
            <w:r>
              <w:rPr>
                <w:rFonts w:hint="eastAsia"/>
                <w:highlight w:val="none"/>
              </w:rPr>
              <w:sym w:font="Wingdings 2" w:char="00A3"/>
            </w:r>
            <w:r>
              <w:rPr>
                <w:rFonts w:hint="eastAsia"/>
                <w:highlight w:val="none"/>
              </w:rPr>
              <w:t>职业病体检报告书日期：</w:t>
            </w:r>
          </w:p>
          <w:p>
            <w:pPr>
              <w:rPr>
                <w:highlight w:val="none"/>
              </w:rPr>
            </w:pPr>
            <w:r>
              <w:rPr>
                <w:rFonts w:hint="eastAsia"/>
                <w:highlight w:val="none"/>
              </w:rPr>
              <w:t>□消防验收/备案证明日期：</w:t>
            </w:r>
          </w:p>
          <w:p>
            <w:pPr>
              <w:rPr>
                <w:highlight w:val="cyan"/>
              </w:rPr>
            </w:pPr>
            <w:r>
              <w:rPr>
                <w:rFonts w:hint="eastAsia"/>
                <w:highlight w:val="none"/>
              </w:rPr>
              <w:sym w:font="Wingdings 2" w:char="00A3"/>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136" w:type="dxa"/>
                  <w:shd w:val="clear" w:color="auto" w:fill="auto"/>
                </w:tcPr>
                <w:p>
                  <w:pPr>
                    <w:rPr>
                      <w:rFonts w:ascii="宋体" w:hAnsi="宋体"/>
                      <w:highlight w:val="none"/>
                    </w:rPr>
                  </w:pPr>
                  <w:r>
                    <w:rPr>
                      <w:rFonts w:hint="eastAsia" w:ascii="宋体" w:hAnsi="宋体"/>
                      <w:highlight w:val="none"/>
                    </w:rPr>
                    <w:t>控制措施</w:t>
                  </w:r>
                </w:p>
              </w:tc>
              <w:tc>
                <w:tcPr>
                  <w:tcW w:w="1350" w:type="dxa"/>
                  <w:shd w:val="clear" w:color="auto" w:fill="auto"/>
                </w:tcPr>
                <w:p>
                  <w:pPr>
                    <w:rPr>
                      <w:rFonts w:ascii="宋体" w:hAnsi="宋体"/>
                      <w:highlight w:val="none"/>
                    </w:rPr>
                  </w:pPr>
                  <w:r>
                    <w:rPr>
                      <w:rFonts w:hint="eastAsia" w:ascii="宋体" w:hAnsi="宋体"/>
                      <w:highlight w:val="none"/>
                    </w:rPr>
                    <w:t>责任部门</w:t>
                  </w:r>
                </w:p>
              </w:tc>
              <w:tc>
                <w:tcPr>
                  <w:tcW w:w="1774"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火灾事故为零</w:t>
                  </w:r>
                </w:p>
              </w:tc>
              <w:tc>
                <w:tcPr>
                  <w:tcW w:w="3136" w:type="dxa"/>
                  <w:shd w:val="clear" w:color="auto" w:fill="auto"/>
                  <w:vAlign w:val="center"/>
                </w:tcPr>
                <w:p>
                  <w:pPr>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火灾应急演练，消防培训</w:t>
                  </w:r>
                </w:p>
              </w:tc>
              <w:tc>
                <w:tcPr>
                  <w:tcW w:w="1350" w:type="dxa"/>
                  <w:shd w:val="clear" w:color="auto" w:fill="auto"/>
                  <w:vAlign w:val="center"/>
                </w:tcPr>
                <w:p>
                  <w:pPr>
                    <w:rPr>
                      <w:rFonts w:hint="eastAsia"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numPr>
                      <w:ilvl w:val="0"/>
                      <w:numId w:val="0"/>
                    </w:numPr>
                    <w:spacing w:line="400" w:lineRule="exact"/>
                    <w:rPr>
                      <w:rFonts w:hint="eastAsia" w:ascii="Times New Roman" w:hAnsi="Times New Roman" w:eastAsia="宋体" w:cs="Times New Roman"/>
                      <w:color w:val="000000"/>
                      <w:szCs w:val="18"/>
                      <w:highlight w:val="none"/>
                      <w:lang w:val="en-US" w:eastAsia="zh-CN"/>
                    </w:rPr>
                  </w:pPr>
                  <w:r>
                    <w:rPr>
                      <w:rFonts w:hint="eastAsia" w:ascii="宋体" w:hAnsi="宋体" w:eastAsia="宋体" w:cs="Times New Roman"/>
                      <w:color w:val="auto"/>
                      <w:szCs w:val="21"/>
                      <w:highlight w:val="none"/>
                      <w:lang w:eastAsia="zh-CN"/>
                    </w:rPr>
                    <w:t>职业病发生率0</w:t>
                  </w:r>
                </w:p>
              </w:tc>
              <w:tc>
                <w:tcPr>
                  <w:tcW w:w="3136" w:type="dxa"/>
                  <w:shd w:val="clear" w:color="auto" w:fill="auto"/>
                  <w:vAlign w:val="center"/>
                </w:tcPr>
                <w:p>
                  <w:pPr>
                    <w:rPr>
                      <w:rFonts w:ascii="宋体" w:hAnsi="宋体" w:eastAsia="宋体" w:cs="Times New Roman"/>
                      <w:kern w:val="2"/>
                      <w:sz w:val="21"/>
                      <w:szCs w:val="24"/>
                      <w:highlight w:val="none"/>
                      <w:lang w:val="en-US" w:eastAsia="zh-CN" w:bidi="ar-SA"/>
                    </w:rPr>
                  </w:pPr>
                  <w:r>
                    <w:rPr>
                      <w:rFonts w:hint="eastAsia"/>
                      <w:highlight w:val="none"/>
                      <w:lang w:val="en-US" w:eastAsia="zh-CN"/>
                    </w:rPr>
                    <w:t>佩戴劳保用品，安全防护、做好培训，制定制度</w:t>
                  </w:r>
                </w:p>
              </w:tc>
              <w:tc>
                <w:tcPr>
                  <w:tcW w:w="1350" w:type="dxa"/>
                  <w:shd w:val="clear" w:color="auto" w:fill="auto"/>
                  <w:vAlign w:val="center"/>
                </w:tcPr>
                <w:p>
                  <w:pPr>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检测部</w:t>
                  </w:r>
                </w:p>
              </w:tc>
              <w:tc>
                <w:tcPr>
                  <w:tcW w:w="1774" w:type="dxa"/>
                  <w:shd w:val="clear" w:color="auto" w:fill="auto"/>
                  <w:vAlign w:val="center"/>
                </w:tcPr>
                <w:p>
                  <w:pPr>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p>
              </w:tc>
              <w:tc>
                <w:tcPr>
                  <w:tcW w:w="3136" w:type="dxa"/>
                  <w:shd w:val="clear" w:color="auto" w:fill="auto"/>
                  <w:vAlign w:val="center"/>
                </w:tcPr>
                <w:p>
                  <w:pPr>
                    <w:rPr>
                      <w:rFonts w:ascii="宋体" w:hAnsi="宋体"/>
                      <w:highlight w:val="yellow"/>
                    </w:rPr>
                  </w:pPr>
                </w:p>
              </w:tc>
              <w:tc>
                <w:tcPr>
                  <w:tcW w:w="1350" w:type="dxa"/>
                  <w:shd w:val="clear" w:color="auto" w:fill="auto"/>
                  <w:vAlign w:val="center"/>
                </w:tcPr>
                <w:p>
                  <w:pPr>
                    <w:rPr>
                      <w:rFonts w:ascii="宋体" w:hAnsi="宋体"/>
                      <w:highlight w:val="yellow"/>
                    </w:rPr>
                  </w:pPr>
                </w:p>
              </w:tc>
              <w:tc>
                <w:tcPr>
                  <w:tcW w:w="1774" w:type="dxa"/>
                  <w:shd w:val="clear" w:color="auto" w:fill="auto"/>
                  <w:vAlign w:val="center"/>
                </w:tcPr>
                <w:p>
                  <w:pPr>
                    <w:jc w:val="center"/>
                    <w:rPr>
                      <w:rFonts w:ascii="宋体"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p>
              </w:tc>
              <w:tc>
                <w:tcPr>
                  <w:tcW w:w="3136" w:type="dxa"/>
                  <w:shd w:val="clear" w:color="auto" w:fill="auto"/>
                  <w:vAlign w:val="center"/>
                </w:tcPr>
                <w:p>
                  <w:pPr>
                    <w:rPr>
                      <w:rFonts w:ascii="宋体" w:hAnsi="宋体"/>
                      <w:highlight w:val="yellow"/>
                    </w:rPr>
                  </w:pPr>
                </w:p>
              </w:tc>
              <w:tc>
                <w:tcPr>
                  <w:tcW w:w="1350" w:type="dxa"/>
                  <w:shd w:val="clear" w:color="auto" w:fill="auto"/>
                  <w:vAlign w:val="center"/>
                </w:tcPr>
                <w:p>
                  <w:pPr>
                    <w:rPr>
                      <w:rFonts w:ascii="宋体" w:hAnsi="宋体"/>
                      <w:highlight w:val="yellow"/>
                    </w:rPr>
                  </w:pPr>
                </w:p>
              </w:tc>
              <w:tc>
                <w:tcPr>
                  <w:tcW w:w="1774" w:type="dxa"/>
                  <w:shd w:val="clear" w:color="auto" w:fill="auto"/>
                  <w:vAlign w:val="center"/>
                </w:tcPr>
                <w:p>
                  <w:pPr>
                    <w:jc w:val="center"/>
                    <w:rPr>
                      <w:rFonts w:ascii="宋体" w:hAnsi="宋体"/>
                      <w:highlight w:val="yellow"/>
                    </w:rPr>
                  </w:pPr>
                </w:p>
              </w:tc>
            </w:tr>
          </w:tbl>
          <w:p>
            <w:r>
              <w:rPr>
                <w:rFonts w:hint="eastAsia" w:ascii="宋体" w:hAnsi="宋体" w:eastAsia="宋体" w:cs="宋体"/>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个；实验室</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宋体" w:hAnsi="宋体" w:cs="宋体"/>
                <w:szCs w:val="21"/>
                <w:highlight w:val="none"/>
                <w:lang w:eastAsia="zh-CN"/>
              </w:rPr>
              <w:t>办公设备、</w:t>
            </w:r>
            <w:r>
              <w:rPr>
                <w:rFonts w:hint="eastAsia" w:ascii="宋体" w:hAnsi="宋体" w:cs="宋体"/>
                <w:sz w:val="21"/>
                <w:szCs w:val="21"/>
              </w:rPr>
              <w:t>干粉砂浆全自动生产线、水泥胶砂搅拌机等</w:t>
            </w:r>
            <w:r>
              <w:rPr>
                <w:rFonts w:hint="eastAsia" w:ascii="宋体" w:hAnsi="宋体" w:cs="宋体"/>
                <w:szCs w:val="21"/>
                <w:highlight w:val="none"/>
                <w:lang w:eastAsia="zh-CN"/>
              </w:rPr>
              <w:t>等设施</w:t>
            </w:r>
          </w:p>
          <w:p>
            <w:r>
              <w:rPr>
                <w:rFonts w:hint="eastAsia"/>
              </w:rPr>
              <w:t>主要安全装置有：</w:t>
            </w:r>
          </w:p>
          <w:p>
            <w:r>
              <w:rPr>
                <w:rFonts w:hint="eastAsia" w:ascii="Wingdings" w:hAnsi="Wingdings"/>
                <w:lang w:eastAsia="zh-CN"/>
              </w:rPr>
              <w:sym w:font="Wingdings 2" w:char="0052"/>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sym w:font="Wingdings 2" w:char="0052"/>
            </w:r>
            <w:r>
              <w:rPr>
                <w:rFonts w:hint="eastAsia"/>
              </w:rPr>
              <w:t xml:space="preserve">联锁装置  </w:t>
            </w:r>
            <w:r>
              <w:rPr>
                <w:rFonts w:hint="eastAsia" w:ascii="Wingdings" w:hAnsi="Wingdings"/>
                <w:lang w:eastAsia="zh-CN"/>
              </w:rPr>
              <w:sym w:font="Wingdings 2" w:char="0052"/>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sym w:font="Wingdings 2" w:char="0052"/>
            </w:r>
            <w:r>
              <w:rPr>
                <w:rFonts w:hint="eastAsia"/>
              </w:rPr>
              <w:t>行车</w:t>
            </w:r>
            <w:r>
              <w:rPr>
                <w:rFonts w:hint="eastAsia" w:ascii="Wingdings" w:hAnsi="Wingdings"/>
                <w:lang w:eastAsia="zh-CN"/>
              </w:rPr>
              <w:sym w:font="Wingdings 2" w:char="00A3"/>
            </w:r>
            <w:r>
              <w:rPr>
                <w:rFonts w:hint="eastAsia"/>
              </w:rPr>
              <w:t xml:space="preserve">锅炉 </w:t>
            </w:r>
            <w:r>
              <w:rPr>
                <w:rFonts w:hint="eastAsia" w:ascii="Wingdings" w:hAnsi="Wingdings"/>
                <w:lang w:eastAsia="zh-CN"/>
              </w:rPr>
              <w:sym w:font="Wingdings 2" w:char="00A3"/>
            </w:r>
            <w:r>
              <w:rPr>
                <w:rFonts w:hint="eastAsia"/>
              </w:rPr>
              <w:t xml:space="preserve">电梯  </w:t>
            </w:r>
            <w:r>
              <w:rPr>
                <w:rFonts w:hint="eastAsia" w:ascii="Wingdings" w:hAnsi="Wingdings"/>
                <w:lang w:eastAsia="zh-CN"/>
              </w:rPr>
              <w:sym w:font="Wingdings 2" w:char="00A3"/>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sym w:font="Wingdings 2" w:char="00A3"/>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A3"/>
            </w:r>
            <w:r>
              <w:rPr>
                <w:rFonts w:hint="eastAsia"/>
              </w:rPr>
              <w:t xml:space="preserve">外校 </w:t>
            </w:r>
          </w:p>
          <w:p>
            <w:r>
              <w:rPr>
                <w:rFonts w:hint="eastAsia"/>
              </w:rPr>
              <w:t>职业健康安全监测的计量器具有：</w:t>
            </w:r>
          </w:p>
          <w:p>
            <w:r>
              <w:rPr>
                <w:rFonts w:hint="eastAsia" w:ascii="Wingdings" w:hAnsi="Wingdings"/>
                <w:lang w:eastAsia="zh-CN"/>
              </w:rPr>
              <w:sym w:font="Wingdings 2" w:char="00A3"/>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sym w:font="Wingdings 2" w:char="00A3"/>
            </w:r>
            <w:r>
              <w:rPr>
                <w:rFonts w:hint="eastAsia"/>
              </w:rPr>
              <w:t>不适用</w:t>
            </w:r>
          </w:p>
          <w:p>
            <w:pPr>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Times New Roman" w:hAnsi="Times New Roman" w:eastAsia="宋体" w:cs="Times New Roman"/>
                <w:lang w:val="en-US" w:eastAsia="zh-CN"/>
              </w:rPr>
              <w:t xml:space="preserve"> </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A3"/>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A3"/>
                  </w: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消防演练</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rPr>
                <w:rFonts w:hint="eastAsia" w:eastAsia="宋体"/>
                <w:lang w:eastAsia="zh-CN"/>
              </w:rPr>
            </w:pPr>
            <w:r>
              <w:rPr>
                <w:rFonts w:hint="eastAsia"/>
              </w:rPr>
              <w:t>特种设备检测报告，如：</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rPr>
                <w:highlight w:val="none"/>
              </w:rPr>
            </w:pPr>
            <w:r>
              <w:rPr>
                <w:rFonts w:hint="eastAsia"/>
              </w:rPr>
              <w:t>审核周期内</w:t>
            </w:r>
            <w:r>
              <w:rPr>
                <w:rFonts w:hint="eastAsia"/>
                <w:highlight w:val="none"/>
              </w:rPr>
              <w:t>发生过紧急情况：</w:t>
            </w:r>
            <w:r>
              <w:rPr>
                <w:rFonts w:hint="eastAsia" w:ascii="Wingdings" w:hAnsi="Wingdings"/>
                <w:highlight w:val="none"/>
                <w:lang w:eastAsia="zh-CN"/>
              </w:rPr>
              <w:sym w:font="Wingdings 2" w:char="0052"/>
            </w:r>
            <w:r>
              <w:rPr>
                <w:rFonts w:hint="eastAsia"/>
                <w:highlight w:val="none"/>
              </w:rPr>
              <w:t>未发生</w:t>
            </w:r>
            <w:r>
              <w:rPr>
                <w:rFonts w:hint="eastAsia" w:ascii="Wingdings" w:hAnsi="Wingdings"/>
                <w:highlight w:val="none"/>
                <w:lang w:eastAsia="zh-CN"/>
              </w:rPr>
              <w:t>□</w:t>
            </w:r>
            <w:r>
              <w:rPr>
                <w:rFonts w:hint="eastAsia"/>
                <w:highlight w:val="none"/>
              </w:rPr>
              <w:t>已发生：。</w:t>
            </w:r>
          </w:p>
          <w:p>
            <w:pPr>
              <w:rPr>
                <w:highlight w:val="none"/>
              </w:rPr>
            </w:pPr>
          </w:p>
          <w:p>
            <w:pPr>
              <w:rPr>
                <w:highlight w:val="none"/>
              </w:rPr>
            </w:pPr>
            <w:r>
              <w:rPr>
                <w:rFonts w:hint="eastAsia"/>
                <w:highlight w:val="none"/>
              </w:rPr>
              <w:t>于</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20</w:t>
            </w:r>
            <w:r>
              <w:rPr>
                <w:rFonts w:hint="eastAsia"/>
                <w:highlight w:val="none"/>
              </w:rPr>
              <w:t>日进行了</w:t>
            </w:r>
            <w:r>
              <w:rPr>
                <w:rFonts w:hint="eastAsia"/>
                <w:highlight w:val="none"/>
                <w:lang w:val="en-US" w:eastAsia="zh-CN"/>
              </w:rPr>
              <w:t>火灾</w:t>
            </w:r>
            <w:r>
              <w:rPr>
                <w:rFonts w:hint="eastAsia"/>
                <w:highlight w:val="none"/>
              </w:rPr>
              <w:t>的演练；并总结了预案的可行性和有效性。</w:t>
            </w:r>
          </w:p>
          <w:p>
            <w:pPr>
              <w:rPr>
                <w:highlight w:val="none"/>
              </w:rPr>
            </w:pPr>
            <w:r>
              <w:rPr>
                <w:rFonts w:hint="eastAsia"/>
                <w:highlight w:val="none"/>
              </w:rPr>
              <w:t>定期评审并修订过程和策划的响应措施，特别是发生紧急情况后或进行试验后；</w:t>
            </w:r>
          </w:p>
          <w:p>
            <w:r>
              <w:rPr>
                <w:rFonts w:hint="eastAsia"/>
                <w:highlight w:val="none"/>
              </w:rPr>
              <w:t>向职业健康安全有关的相关方，包括在组织控制下</w:t>
            </w:r>
            <w:r>
              <w:rPr>
                <w:rFonts w:hint="eastAsia"/>
              </w:rPr>
              <w:t>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rFonts w:hint="eastAsia" w:eastAsia="宋体"/>
              </w:rPr>
            </w:pPr>
            <w:r>
              <w:rPr>
                <w:rFonts w:hint="eastAsia"/>
              </w:rPr>
              <w:t>组织已分析和</w:t>
            </w:r>
            <w:r>
              <w:rPr>
                <w:rFonts w:hint="eastAsia" w:eastAsia="宋体"/>
              </w:rPr>
              <w:t>评价通过监视和测量获得的适当的数据和信息。</w:t>
            </w:r>
          </w:p>
          <w:p>
            <w:pPr>
              <w:rPr>
                <w:rFonts w:hint="eastAsia" w:eastAsia="宋体"/>
              </w:rPr>
            </w:pPr>
            <w:r>
              <w:rPr>
                <w:rFonts w:hint="eastAsia" w:eastAsia="宋体"/>
              </w:rPr>
              <w:t>组织已建立、实施并保持评价其合规义务履行情况所需的过程。</w:t>
            </w:r>
          </w:p>
          <w:p>
            <w:pPr>
              <w:rPr>
                <w:rFonts w:hint="eastAsia" w:eastAsia="宋体"/>
              </w:rPr>
            </w:pPr>
            <w:r>
              <w:rPr>
                <w:rFonts w:hint="eastAsia" w:eastAsia="宋体"/>
              </w:rPr>
              <w:t>实施合规性评价的时间：</w:t>
            </w:r>
          </w:p>
          <w:p>
            <w:pPr>
              <w:rPr>
                <w:rFonts w:hint="eastAsia" w:eastAsia="宋体"/>
              </w:rPr>
            </w:pPr>
            <w:r>
              <w:rPr>
                <w:rFonts w:hint="eastAsia" w:eastAsia="宋体"/>
                <w:lang w:eastAsia="zh-CN"/>
              </w:rPr>
              <w:t>☑</w:t>
            </w:r>
            <w:r>
              <w:rPr>
                <w:rFonts w:hint="eastAsia" w:eastAsia="宋体"/>
              </w:rPr>
              <w:t>定期（每年）：</w:t>
            </w:r>
            <w:r>
              <w:rPr>
                <w:rFonts w:hint="eastAsia" w:eastAsia="宋体"/>
                <w:lang w:eastAsia="zh-CN"/>
              </w:rPr>
              <w:t>2022年3月2</w:t>
            </w:r>
            <w:r>
              <w:rPr>
                <w:rFonts w:hint="eastAsia" w:eastAsia="宋体"/>
                <w:lang w:val="en-US" w:eastAsia="zh-CN"/>
              </w:rPr>
              <w:t>2</w:t>
            </w:r>
            <w:r>
              <w:rPr>
                <w:rFonts w:hint="eastAsia" w:eastAsia="宋体"/>
                <w:lang w:eastAsia="zh-CN"/>
              </w:rPr>
              <w:t>日</w:t>
            </w:r>
            <w:r>
              <w:rPr>
                <w:rFonts w:hint="eastAsia" w:eastAsia="宋体"/>
              </w:rPr>
              <w:t xml:space="preserve"> </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sym w:font="Wingdings 2" w:char="00A3"/>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入职</w:t>
            </w:r>
            <w:r>
              <w:rPr>
                <w:rFonts w:hint="eastAsia" w:ascii="Wingdings" w:hAnsi="Wingdings"/>
                <w:highlight w:val="none"/>
                <w:lang w:eastAsia="zh-CN"/>
              </w:rPr>
              <w:t>□</w:t>
            </w:r>
            <w:r>
              <w:rPr>
                <w:rFonts w:hint="eastAsia"/>
                <w:highlight w:val="none"/>
              </w:rPr>
              <w:t>离职</w:t>
            </w:r>
            <w:r>
              <w:rPr>
                <w:rFonts w:hint="eastAsia" w:ascii="Wingdings" w:hAnsi="Wingdings"/>
                <w:highlight w:val="none"/>
                <w:lang w:eastAsia="zh-CN"/>
              </w:rPr>
              <w:t>□</w:t>
            </w:r>
            <w:r>
              <w:rPr>
                <w:rFonts w:hint="eastAsia"/>
                <w:highlight w:val="none"/>
              </w:rPr>
              <w:t>在职（定期）</w:t>
            </w:r>
          </w:p>
          <w:p>
            <w:pPr>
              <w:rPr>
                <w:rFonts w:hint="eastAsia"/>
                <w:highlight w:val="none"/>
              </w:rPr>
            </w:pPr>
            <w:r>
              <w:rPr>
                <w:rFonts w:hint="eastAsia"/>
                <w:highlight w:val="none"/>
              </w:rPr>
              <w:t>《职业病体检》编号：</w:t>
            </w:r>
          </w:p>
          <w:p>
            <w:pPr>
              <w:ind w:firstLine="420" w:firstLineChars="200"/>
              <w:rPr>
                <w:rFonts w:hint="eastAsia" w:eastAsia="宋体"/>
                <w:highlight w:val="none"/>
                <w:lang w:eastAsia="zh-CN"/>
              </w:rPr>
            </w:pPr>
            <w:r>
              <w:rPr>
                <w:rFonts w:hint="eastAsia"/>
                <w:highlight w:val="none"/>
              </w:rPr>
              <w:t>体检报告正在出具中，提供有江津佳华医院实施了职业体检情况说明，见附件</w:t>
            </w:r>
            <w:r>
              <w:rPr>
                <w:rFonts w:hint="eastAsia"/>
                <w:highlight w:val="none"/>
                <w:lang w:eastAsia="zh-CN"/>
              </w:rPr>
              <w:t>。</w:t>
            </w:r>
          </w:p>
          <w:p>
            <w:pPr>
              <w:rPr>
                <w:highlight w:val="none"/>
              </w:rPr>
            </w:pPr>
            <w:r>
              <w:rPr>
                <w:rFonts w:hint="eastAsia"/>
                <w:highlight w:val="none"/>
              </w:rPr>
              <w:t>《建筑消防检测报告》编号：。</w:t>
            </w:r>
          </w:p>
          <w:p>
            <w:pPr>
              <w:rPr>
                <w:highlight w:val="none"/>
              </w:rPr>
            </w:pPr>
            <w:r>
              <w:rPr>
                <w:rFonts w:hint="eastAsia"/>
                <w:highlight w:val="none"/>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w:t>
            </w:r>
            <w:r>
              <w:rPr>
                <w:rFonts w:hint="eastAsia" w:ascii="Times New Roman" w:hAnsi="Times New Roman" w:eastAsia="宋体" w:cs="Times New Roman"/>
              </w:rPr>
              <w:t>策划于</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cs="Times New Roman"/>
                <w:lang w:val="en-US" w:eastAsia="zh-CN"/>
              </w:rPr>
              <w:t>1</w:t>
            </w:r>
            <w:r>
              <w:rPr>
                <w:rFonts w:hint="eastAsia" w:ascii="Times New Roman" w:hAnsi="Times New Roman" w:eastAsia="宋体" w:cs="Times New Roman"/>
              </w:rPr>
              <w:t>月</w:t>
            </w:r>
            <w:r>
              <w:rPr>
                <w:rFonts w:hint="eastAsia" w:cs="Times New Roman"/>
                <w:lang w:val="en-US" w:eastAsia="zh-CN"/>
              </w:rPr>
              <w:t>25</w:t>
            </w:r>
            <w:r>
              <w:rPr>
                <w:rFonts w:hint="eastAsia" w:ascii="Times New Roman" w:hAnsi="Times New Roman" w:eastAsia="宋体" w:cs="Times New Roman"/>
              </w:rPr>
              <w:t>日实施了</w:t>
            </w:r>
            <w:r>
              <w:rPr>
                <w:rFonts w:hint="eastAsia"/>
              </w:rPr>
              <w:t>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Pr>
              <w:pStyle w:val="2"/>
            </w:pPr>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68" w:type="dxa"/>
            <w:shd w:val="clear" w:color="auto" w:fill="F2DCDC" w:themeFill="accent2" w:themeFillTint="32"/>
            <w:vAlign w:val="center"/>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02117A"/>
    <w:rsid w:val="0132783D"/>
    <w:rsid w:val="01504A25"/>
    <w:rsid w:val="04327012"/>
    <w:rsid w:val="08400A92"/>
    <w:rsid w:val="0A2F45B6"/>
    <w:rsid w:val="0BA457DB"/>
    <w:rsid w:val="0C22507E"/>
    <w:rsid w:val="0E6F0323"/>
    <w:rsid w:val="11393DC4"/>
    <w:rsid w:val="11851C0B"/>
    <w:rsid w:val="12A6008B"/>
    <w:rsid w:val="194A0BCA"/>
    <w:rsid w:val="1B072377"/>
    <w:rsid w:val="1B1821EA"/>
    <w:rsid w:val="1B267FBB"/>
    <w:rsid w:val="1C835913"/>
    <w:rsid w:val="214C4439"/>
    <w:rsid w:val="234C2589"/>
    <w:rsid w:val="23F23130"/>
    <w:rsid w:val="26711E5F"/>
    <w:rsid w:val="27E93145"/>
    <w:rsid w:val="2F875DDB"/>
    <w:rsid w:val="32FD2A2C"/>
    <w:rsid w:val="33DE0FDB"/>
    <w:rsid w:val="34A02734"/>
    <w:rsid w:val="3821593A"/>
    <w:rsid w:val="3AEA3559"/>
    <w:rsid w:val="3BD01B51"/>
    <w:rsid w:val="3C1B147E"/>
    <w:rsid w:val="3E436B44"/>
    <w:rsid w:val="3F23112A"/>
    <w:rsid w:val="40C31C84"/>
    <w:rsid w:val="40FE2B4E"/>
    <w:rsid w:val="42976F25"/>
    <w:rsid w:val="44F543D6"/>
    <w:rsid w:val="4504286C"/>
    <w:rsid w:val="48D04F3E"/>
    <w:rsid w:val="4B4C0B8C"/>
    <w:rsid w:val="4E4F7372"/>
    <w:rsid w:val="4E6F5D14"/>
    <w:rsid w:val="4F005E52"/>
    <w:rsid w:val="52B633F7"/>
    <w:rsid w:val="55AA4D69"/>
    <w:rsid w:val="56E30533"/>
    <w:rsid w:val="5976568E"/>
    <w:rsid w:val="5DC7688B"/>
    <w:rsid w:val="5DFD7092"/>
    <w:rsid w:val="5F5A15AE"/>
    <w:rsid w:val="5FC133DB"/>
    <w:rsid w:val="627D021D"/>
    <w:rsid w:val="643F0D73"/>
    <w:rsid w:val="69112CDD"/>
    <w:rsid w:val="695D4175"/>
    <w:rsid w:val="6A0E36C1"/>
    <w:rsid w:val="6A415844"/>
    <w:rsid w:val="6A5E5B5A"/>
    <w:rsid w:val="6A991075"/>
    <w:rsid w:val="6B572E46"/>
    <w:rsid w:val="6BA633F2"/>
    <w:rsid w:val="6BB9765C"/>
    <w:rsid w:val="6BBA0530"/>
    <w:rsid w:val="6FE74798"/>
    <w:rsid w:val="71235CA4"/>
    <w:rsid w:val="74827185"/>
    <w:rsid w:val="74F811F5"/>
    <w:rsid w:val="76154107"/>
    <w:rsid w:val="77770AF7"/>
    <w:rsid w:val="779A47E6"/>
    <w:rsid w:val="79332CB1"/>
    <w:rsid w:val="7EC14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19396</Words>
  <Characters>20403</Characters>
  <Lines>150</Lines>
  <Paragraphs>42</Paragraphs>
  <TotalTime>5</TotalTime>
  <ScaleCrop>false</ScaleCrop>
  <LinksUpToDate>false</LinksUpToDate>
  <CharactersWithSpaces>21139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2022-04-09T06:26:48Z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