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重庆科华新型节能墙体材料有限公司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在生产车间审核发现各工序现场均无操作作业文件。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221" w:firstLineChars="1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8.1条款：“</w:t>
            </w: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为满足产品和服务提供的要求，并实施第 6 章所确定的措施，组织应通过以下措施对所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需的过程（见 4.4）进行策划、实施和控制：</w:t>
            </w: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e）在必要的范围和程度上，确定并保持、保留成文信息，以：1）确信过程已经按策划进行；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2）证明产品和服务符合要求。）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”的要求。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重庆科华新型节能墙体材料有限公司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查生产车间固废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临时堆放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管理：车间设置有脱模剂包装桶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临时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存放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区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，部分脱模剂包装桶放置在木托盘上，另有部分脱模剂包装桶随意放置在存放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区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外。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5" w:name="_GoBack"/>
            <w:bookmarkEnd w:id="1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keepNext w:val="0"/>
              <w:keepLines w:val="0"/>
              <w:widowControl/>
              <w:suppressLineNumbers w:val="0"/>
              <w:ind w:firstLine="1767" w:firstLineChars="800"/>
              <w:jc w:val="left"/>
              <w:rPr>
                <w:rFonts w:hint="default" w:ascii="宋体" w:hAnsi="宋体" w:eastAsia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eastAsia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8.1条款：“组织应建立、实施、控制并保持满足环境管理体系要求以及实施 6.1 和 </w:t>
            </w:r>
            <w:r>
              <w:rPr>
                <w:rFonts w:hint="default" w:ascii="宋体" w:eastAsia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6.2 </w:t>
            </w:r>
            <w:r>
              <w:rPr>
                <w:rFonts w:hint="eastAsia" w:ascii="宋体" w:eastAsia="宋体"/>
                <w:b/>
                <w:bCs/>
                <w:color w:val="auto"/>
                <w:kern w:val="0"/>
                <w:szCs w:val="21"/>
                <w:lang w:val="en-US" w:eastAsia="zh-CN"/>
              </w:rPr>
              <w:t>所识别的措施所需的过程，通过： —建立过程的运行准则；”的要求。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9339FB"/>
    <w:rsid w:val="588658D3"/>
    <w:rsid w:val="7B7F5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2022-04-09T01:25:21Z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