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重庆科华新型节能墙体材料有限公司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34925</wp:posOffset>
                  </wp:positionV>
                  <wp:extent cx="812800" cy="400050"/>
                  <wp:effectExtent l="0" t="0" r="10160" b="11430"/>
                  <wp:wrapNone/>
                  <wp:docPr id="4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建筑用混凝土制品的制造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网上视频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晚19：00-20：00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蒸压加气混凝土砌块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原材料磨浆----配料搅拌----浇筑成型----静养-----脱模分切-----蒸压成型----掰料成型----检验----打包入库。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蒸压加气混凝土板材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原材料磨浆----配料搅拌----网笼生产（外协）----浇筑成型----静养-----脱模分切-----蒸压成型----掰料成型----检验----打包入库</w:t>
            </w:r>
            <w:r>
              <w:rPr>
                <w:color w:val="auto"/>
                <w:sz w:val="21"/>
                <w:szCs w:val="21"/>
              </w:rPr>
              <w:br w:type="textWrapping"/>
            </w:r>
            <w:r>
              <w:rPr>
                <w:color w:val="auto"/>
                <w:sz w:val="21"/>
                <w:szCs w:val="21"/>
              </w:rPr>
              <w:t>关键工序：蒸养过程，也是特殊过程。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配料、浇涛、切割、蒸养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蒸养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过程控制：按工艺作业指导书进行控制，控制参数有蒸汽压力、温度和养护时间。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产品质量法、合同法、消费者保护条例；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instrText xml:space="preserve"> HYPERLINK "http://www.baidu.com/link?url=NXhK1PXdPWH_omKCLsuRR8HZAHSxwat2wR3tuNHDdBbUumiVQvxox2Ct93gWUw8o" \t "https://www.baidu.com/_blank" </w:instrTex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蒸压加气混凝土砌块 GB/T11968-2006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蒸压加气混凝土板 GB15762-2008及客户要求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委外检验报告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，检验项目有：外观、尺寸、强度、密实度等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165735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2022年4月7日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197485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2022年4月7日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重庆科华新型节能墙体材料有限公司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：16.02.01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34925</wp:posOffset>
                  </wp:positionV>
                  <wp:extent cx="812800" cy="400050"/>
                  <wp:effectExtent l="0" t="0" r="10160" b="11430"/>
                  <wp:wrapNone/>
                  <wp:docPr id="6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建筑用混凝土制品的制造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网上视频</w:t>
            </w: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晚19：00-20：00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蒸压加气混凝土砌块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原材料磨浆----配料搅拌----浇筑成型----静养-----脱模分切-----蒸压成型----掰料成型----检验----打包入库。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蒸压加气混凝土板材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原材料磨浆----配料搅拌----网笼生产（外协）----浇筑成型----静养-----脱模分切-----蒸压成型----掰料成型----检验----打包入库</w:t>
            </w:r>
            <w:r>
              <w:rPr>
                <w:color w:val="auto"/>
                <w:sz w:val="21"/>
                <w:szCs w:val="21"/>
              </w:rPr>
              <w:br w:type="textWrapping"/>
            </w:r>
            <w:r>
              <w:rPr>
                <w:color w:val="auto"/>
                <w:sz w:val="21"/>
                <w:szCs w:val="21"/>
              </w:rPr>
              <w:t>关键工序：蒸养过程，也是特殊过程。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潜在火灾、</w:t>
            </w:r>
            <w:r>
              <w:rPr>
                <w:rFonts w:hint="eastAsia"/>
                <w:color w:val="auto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、废水排放、废气排放、噪声排放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能源消耗。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按控制方案和预案进行控制。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instrText xml:space="preserve"> HYPERLINK "http://www.baidu.com/link?url=NXhK1PXdPWH_omKCLsuRR8HZAHSxwat2wR3tuNHDdBbUumiVQvxox2Ct93gWUw8o" \t "https://www.baidu.com/_blank" </w:instrTex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蒸压加气混凝土砌块 GB/T11968-2006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蒸压加气混凝土板 GB15762-2008及客户要求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和合同协议等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污水综合排放标准》（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GB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8978-96）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；《锅炉大气污染物排放标准》（GB13271-20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中的二级标准;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建筑施工场界噪声限值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》（GB12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523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大气污染物综合排放标准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GB16297-1996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二级标准；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中华人民共和国安全消防法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公司于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委托重庆惠能标普科技有限公司进行了环境监测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，监测项目：废气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废水、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噪声。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检测结论：合格。检测报告正在出具中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165735</wp:posOffset>
                  </wp:positionV>
                  <wp:extent cx="812800" cy="400050"/>
                  <wp:effectExtent l="0" t="0" r="10160" b="11430"/>
                  <wp:wrapNone/>
                  <wp:docPr id="1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2022年4月7日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197485</wp:posOffset>
                  </wp:positionV>
                  <wp:extent cx="812800" cy="400050"/>
                  <wp:effectExtent l="0" t="0" r="10160" b="11430"/>
                  <wp:wrapNone/>
                  <wp:docPr id="14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2022年4月7日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64076BE"/>
    <w:rsid w:val="4E9844BE"/>
    <w:rsid w:val="5DDE0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2022-04-08T06:56:02Z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