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0323-2022-QEO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四川普西亚线缆有限公司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四川普西亚线缆有限公司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四川省成都金牛高新技术产业园区振兴路22号5号楼5栋4楼406-3号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成都市武候区林荫街7号华西大厦A座702号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李福建</w:t>
            </w:r>
            <w:bookmarkEnd w:id="10"/>
          </w:p>
        </w:tc>
        <w:tc>
          <w:tcPr>
            <w:tcW w:w="1313" w:type="dxa"/>
            <w:vAlign w:val="center"/>
          </w:tcPr>
          <w:p>
            <w:r>
              <w:rPr>
                <w:rFonts w:hint="eastAsia"/>
              </w:rPr>
              <w:t>电话.</w:t>
            </w:r>
          </w:p>
        </w:tc>
        <w:tc>
          <w:tcPr>
            <w:tcW w:w="2180" w:type="dxa"/>
            <w:vAlign w:val="center"/>
          </w:tcPr>
          <w:p>
            <w:bookmarkStart w:id="11" w:name="联系人电话"/>
            <w:r>
              <w:t>15828610683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李福建</w:t>
            </w:r>
            <w:bookmarkEnd w:id="13"/>
          </w:p>
        </w:tc>
        <w:tc>
          <w:tcPr>
            <w:tcW w:w="1313" w:type="dxa"/>
            <w:vAlign w:val="center"/>
          </w:tcPr>
          <w:p>
            <w:r>
              <w:rPr>
                <w:rFonts w:hint="eastAsia"/>
              </w:rPr>
              <w:t>管理者代表</w:t>
            </w:r>
          </w:p>
        </w:tc>
        <w:tc>
          <w:tcPr>
            <w:tcW w:w="2180" w:type="dxa"/>
          </w:tcPr>
          <w:p>
            <w:bookmarkStart w:id="14" w:name="管理者代表"/>
            <w:r>
              <w:t>张洪</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rPr>
            </w:pPr>
            <w:r>
              <w:rPr>
                <w:rFonts w:hint="eastAsia"/>
              </w:rPr>
              <w:t>销售流程：</w:t>
            </w:r>
          </w:p>
          <w:p>
            <w:r>
              <w:rPr>
                <w:rFonts w:hint="eastAsia"/>
              </w:rPr>
              <w:t>与客户业务咨询→与供应商前期沟通→签订合同（支付预付款）→供应商安排发货→产品入库→物流安排→提货、交货、验货（支付余款）→清算、交易结束</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2022年04月07日 上午至2022年04月07日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lang w:val="de-DE"/>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Q：电线、电缆销售</w:t>
            </w:r>
          </w:p>
          <w:p>
            <w:r>
              <w:t>E：电线、电缆销售所涉及场所的相关环境管理活动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04"/>
        <w:gridCol w:w="2130"/>
        <w:gridCol w:w="571"/>
        <w:gridCol w:w="2610"/>
        <w:gridCol w:w="86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404" w:type="dxa"/>
            <w:shd w:val="clear" w:color="auto" w:fill="F3F3F3"/>
            <w:tcMar>
              <w:left w:w="57" w:type="dxa"/>
              <w:right w:w="57" w:type="dxa"/>
            </w:tcMar>
          </w:tcPr>
          <w:p>
            <w:r>
              <w:rPr>
                <w:rFonts w:hint="eastAsia"/>
              </w:rPr>
              <w:t>组织名称及注册场所地址</w:t>
            </w:r>
          </w:p>
        </w:tc>
        <w:tc>
          <w:tcPr>
            <w:tcW w:w="2130"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610" w:type="dxa"/>
            <w:shd w:val="clear" w:color="auto" w:fill="F3F3F3"/>
            <w:tcMar>
              <w:left w:w="57" w:type="dxa"/>
              <w:right w:w="57" w:type="dxa"/>
            </w:tcMar>
          </w:tcPr>
          <w:p>
            <w:r>
              <w:rPr>
                <w:rFonts w:hint="eastAsia"/>
              </w:rPr>
              <w:t>审核范围（产品和过程）</w:t>
            </w:r>
          </w:p>
          <w:p/>
          <w:p/>
        </w:tc>
        <w:tc>
          <w:tcPr>
            <w:tcW w:w="86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404" w:type="dxa"/>
          </w:tcPr>
          <w:p>
            <w:pPr>
              <w:rPr>
                <w:lang w:val="de-DE" w:eastAsia="ja-JP"/>
              </w:rPr>
            </w:pPr>
            <w:r>
              <w:rPr>
                <w:rFonts w:asciiTheme="minorEastAsia" w:hAnsiTheme="minorEastAsia" w:eastAsiaTheme="minorEastAsia"/>
                <w:sz w:val="20"/>
              </w:rPr>
              <w:t>四川省成都金牛高新技术产业园区振兴路22号5号楼5栋4楼406-3号</w:t>
            </w:r>
          </w:p>
        </w:tc>
        <w:tc>
          <w:tcPr>
            <w:tcW w:w="2130" w:type="dxa"/>
          </w:tcPr>
          <w:p>
            <w:pPr>
              <w:rPr>
                <w:lang w:val="de-DE" w:eastAsia="ja-JP"/>
              </w:rPr>
            </w:pPr>
            <w:r>
              <w:rPr>
                <w:rFonts w:asciiTheme="minorEastAsia" w:hAnsiTheme="minorEastAsia" w:eastAsiaTheme="minorEastAsia"/>
                <w:sz w:val="20"/>
              </w:rPr>
              <w:t>成都市武候区林荫街7号华西大厦A座702号</w:t>
            </w:r>
          </w:p>
        </w:tc>
        <w:tc>
          <w:tcPr>
            <w:tcW w:w="571" w:type="dxa"/>
            <w:vAlign w:val="center"/>
          </w:tcPr>
          <w:p>
            <w:pPr>
              <w:rPr>
                <w:rFonts w:hint="default" w:eastAsia="宋体"/>
                <w:lang w:val="en-US" w:eastAsia="zh-CN"/>
              </w:rPr>
            </w:pPr>
            <w:r>
              <w:rPr>
                <w:rFonts w:hint="eastAsia"/>
                <w:lang w:val="en-US" w:eastAsia="zh-CN"/>
              </w:rPr>
              <w:t>10</w:t>
            </w:r>
          </w:p>
        </w:tc>
        <w:tc>
          <w:tcPr>
            <w:tcW w:w="2610" w:type="dxa"/>
            <w:vAlign w:val="center"/>
          </w:tcPr>
          <w:p>
            <w:pPr>
              <w:rPr>
                <w:lang w:eastAsia="ja-JP"/>
              </w:rPr>
            </w:pPr>
            <w:r>
              <w:rPr>
                <w:sz w:val="20"/>
              </w:rPr>
              <w:t>Q：电线、电缆销售</w:t>
            </w:r>
          </w:p>
        </w:tc>
        <w:tc>
          <w:tcPr>
            <w:tcW w:w="862"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404" w:type="dxa"/>
            <w:vAlign w:val="center"/>
          </w:tcPr>
          <w:p>
            <w:pPr>
              <w:rPr>
                <w:lang w:eastAsia="ja-JP"/>
              </w:rPr>
            </w:pPr>
            <w:r>
              <w:rPr>
                <w:rFonts w:asciiTheme="minorEastAsia" w:hAnsiTheme="minorEastAsia" w:eastAsiaTheme="minorEastAsia"/>
                <w:sz w:val="20"/>
              </w:rPr>
              <w:t>四川省成都金牛高新技术产业园区振兴路22号5号楼5栋4楼406-3号</w:t>
            </w:r>
          </w:p>
        </w:tc>
        <w:tc>
          <w:tcPr>
            <w:tcW w:w="2130" w:type="dxa"/>
            <w:vAlign w:val="center"/>
          </w:tcPr>
          <w:p>
            <w:pPr>
              <w:rPr>
                <w:lang w:eastAsia="ja-JP"/>
              </w:rPr>
            </w:pPr>
            <w:r>
              <w:rPr>
                <w:rFonts w:asciiTheme="minorEastAsia" w:hAnsiTheme="minorEastAsia" w:eastAsiaTheme="minorEastAsia"/>
                <w:sz w:val="20"/>
              </w:rPr>
              <w:t>成都市武候区林荫街7号华西大厦A座702号</w:t>
            </w:r>
          </w:p>
        </w:tc>
        <w:tc>
          <w:tcPr>
            <w:tcW w:w="571" w:type="dxa"/>
            <w:vAlign w:val="center"/>
          </w:tcPr>
          <w:p>
            <w:pPr>
              <w:rPr>
                <w:rFonts w:hint="default" w:eastAsia="宋体"/>
                <w:lang w:val="en-US" w:eastAsia="zh-CN"/>
              </w:rPr>
            </w:pPr>
            <w:r>
              <w:rPr>
                <w:rFonts w:hint="eastAsia"/>
                <w:lang w:val="en-US" w:eastAsia="zh-CN"/>
              </w:rPr>
              <w:t>10</w:t>
            </w:r>
          </w:p>
        </w:tc>
        <w:tc>
          <w:tcPr>
            <w:tcW w:w="2610" w:type="dxa"/>
            <w:vAlign w:val="center"/>
          </w:tcPr>
          <w:p>
            <w:pPr>
              <w:rPr>
                <w:lang w:eastAsia="ja-JP"/>
              </w:rPr>
            </w:pPr>
            <w:r>
              <w:rPr>
                <w:sz w:val="20"/>
              </w:rPr>
              <w:t>E：电线、电缆销售所涉及场所的相关环境管理活动</w:t>
            </w:r>
          </w:p>
        </w:tc>
        <w:tc>
          <w:tcPr>
            <w:tcW w:w="862"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404" w:type="dxa"/>
            <w:vAlign w:val="center"/>
          </w:tcPr>
          <w:p>
            <w:pPr>
              <w:rPr>
                <w:lang w:eastAsia="ja-JP"/>
              </w:rPr>
            </w:pPr>
          </w:p>
        </w:tc>
        <w:tc>
          <w:tcPr>
            <w:tcW w:w="2130" w:type="dxa"/>
            <w:vAlign w:val="center"/>
          </w:tcPr>
          <w:p>
            <w:pPr>
              <w:rPr>
                <w:lang w:eastAsia="ja-JP"/>
              </w:rPr>
            </w:pPr>
          </w:p>
        </w:tc>
        <w:tc>
          <w:tcPr>
            <w:tcW w:w="571" w:type="dxa"/>
            <w:vAlign w:val="center"/>
          </w:tcPr>
          <w:p>
            <w:pPr>
              <w:rPr>
                <w:lang w:eastAsia="ja-JP"/>
              </w:rPr>
            </w:pPr>
          </w:p>
        </w:tc>
        <w:tc>
          <w:tcPr>
            <w:tcW w:w="2610" w:type="dxa"/>
            <w:vAlign w:val="center"/>
          </w:tcPr>
          <w:p>
            <w:pPr>
              <w:rPr>
                <w:lang w:eastAsia="ja-JP"/>
              </w:rPr>
            </w:pPr>
          </w:p>
        </w:tc>
        <w:tc>
          <w:tcPr>
            <w:tcW w:w="86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404" w:type="dxa"/>
            <w:vAlign w:val="center"/>
          </w:tcPr>
          <w:p>
            <w:pPr>
              <w:rPr>
                <w:lang w:eastAsia="ja-JP"/>
              </w:rPr>
            </w:pPr>
          </w:p>
        </w:tc>
        <w:tc>
          <w:tcPr>
            <w:tcW w:w="2130" w:type="dxa"/>
            <w:vAlign w:val="center"/>
          </w:tcPr>
          <w:p>
            <w:pPr>
              <w:rPr>
                <w:lang w:eastAsia="ja-JP"/>
              </w:rPr>
            </w:pPr>
          </w:p>
        </w:tc>
        <w:tc>
          <w:tcPr>
            <w:tcW w:w="571" w:type="dxa"/>
            <w:vAlign w:val="center"/>
          </w:tcPr>
          <w:p>
            <w:pPr>
              <w:rPr>
                <w:lang w:eastAsia="ja-JP"/>
              </w:rPr>
            </w:pPr>
          </w:p>
        </w:tc>
        <w:tc>
          <w:tcPr>
            <w:tcW w:w="2610" w:type="dxa"/>
            <w:vAlign w:val="center"/>
          </w:tcPr>
          <w:p>
            <w:pPr>
              <w:rPr>
                <w:lang w:eastAsia="ja-JP"/>
              </w:rPr>
            </w:pPr>
          </w:p>
        </w:tc>
        <w:tc>
          <w:tcPr>
            <w:tcW w:w="86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404" w:type="dxa"/>
            <w:vAlign w:val="center"/>
          </w:tcPr>
          <w:p>
            <w:pPr>
              <w:rPr>
                <w:lang w:eastAsia="ja-JP"/>
              </w:rPr>
            </w:pPr>
          </w:p>
        </w:tc>
        <w:tc>
          <w:tcPr>
            <w:tcW w:w="2130" w:type="dxa"/>
            <w:vAlign w:val="center"/>
          </w:tcPr>
          <w:p>
            <w:pPr>
              <w:rPr>
                <w:lang w:eastAsia="ja-JP"/>
              </w:rPr>
            </w:pPr>
          </w:p>
        </w:tc>
        <w:tc>
          <w:tcPr>
            <w:tcW w:w="571" w:type="dxa"/>
            <w:vAlign w:val="center"/>
          </w:tcPr>
          <w:p>
            <w:pPr>
              <w:rPr>
                <w:lang w:eastAsia="ja-JP"/>
              </w:rPr>
            </w:pPr>
          </w:p>
        </w:tc>
        <w:tc>
          <w:tcPr>
            <w:tcW w:w="2610" w:type="dxa"/>
            <w:vAlign w:val="center"/>
          </w:tcPr>
          <w:p>
            <w:pPr>
              <w:rPr>
                <w:lang w:eastAsia="ja-JP"/>
              </w:rPr>
            </w:pPr>
          </w:p>
        </w:tc>
        <w:tc>
          <w:tcPr>
            <w:tcW w:w="862"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2019-N1EMS-1247783</w:t>
            </w:r>
          </w:p>
        </w:tc>
        <w:tc>
          <w:tcPr>
            <w:tcW w:w="2179" w:type="dxa"/>
            <w:vAlign w:val="center"/>
          </w:tcPr>
          <w:p>
            <w:r>
              <w:t>Q:29.12.00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jc w:val="center"/>
              <w:rPr>
                <w:rFonts w:hint="eastAsia" w:eastAsia="宋体"/>
                <w:lang w:val="en-US" w:eastAsia="zh-CN"/>
              </w:rPr>
            </w:pPr>
            <w:r>
              <w:rPr>
                <w:rFonts w:hint="eastAsia"/>
                <w:lang w:val="en-US" w:eastAsia="zh-CN"/>
              </w:rPr>
              <w:t>1</w:t>
            </w:r>
          </w:p>
        </w:tc>
        <w:tc>
          <w:tcPr>
            <w:tcW w:w="1717" w:type="dxa"/>
          </w:tcPr>
          <w:p>
            <w:pPr>
              <w:jc w:val="center"/>
            </w:pPr>
          </w:p>
        </w:tc>
        <w:tc>
          <w:tcPr>
            <w:tcW w:w="1560" w:type="dxa"/>
          </w:tcPr>
          <w:p>
            <w:pPr>
              <w:jc w:val="cente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125730</wp:posOffset>
                  </wp:positionH>
                  <wp:positionV relativeFrom="paragraph">
                    <wp:posOffset>120015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left="559" w:leftChars="266"/>
              <w:rPr>
                <w:rFonts w:hint="eastAsia" w:ascii="Times New Roman" w:hAnsi="Times New Roman" w:eastAsia="宋体" w:cs="Times New Roman"/>
                <w:lang w:eastAsia="zh-C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u w:val="single"/>
                <w:lang w:eastAsia="zh-CN"/>
              </w:rPr>
              <w:t>“质量第一、管理至上，以客为尊，持续改进！遵守法规，预防污染，节能降耗，持续改进！”</w:t>
            </w:r>
            <w:r>
              <w:rPr>
                <w:rFonts w:hint="eastAsia" w:ascii="Times New Roman" w:hAnsi="Times New Roman" w:eastAsia="宋体" w:cs="Times New Roman"/>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highlight w:val="none"/>
                      <w:lang w:eastAsia="zh-CN"/>
                    </w:rPr>
                  </w:pPr>
                  <w:r>
                    <w:rPr>
                      <w:rFonts w:hint="eastAsia" w:ascii="宋体" w:hAnsi="宋体" w:eastAsia="宋体" w:cs="Times New Roman"/>
                      <w:highlight w:val="none"/>
                      <w:lang w:eastAsia="zh-CN"/>
                    </w:rPr>
                    <w:t>产品交付合格率100%</w:t>
                  </w:r>
                </w:p>
              </w:tc>
              <w:tc>
                <w:tcPr>
                  <w:tcW w:w="3136"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lang w:eastAsia="zh-CN"/>
                    </w:rPr>
                    <w:t>交付合格数/交付总数*100%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val="en-GB" w:eastAsia="zh-CN"/>
                    </w:rPr>
                  </w:pPr>
                  <w:r>
                    <w:rPr>
                      <w:rFonts w:hint="eastAsia" w:ascii="宋体" w:hAnsi="宋体" w:eastAsia="宋体" w:cs="Times New Roman"/>
                      <w:highlight w:val="none"/>
                      <w:lang w:val="en-US" w:eastAsia="zh-CN"/>
                    </w:rPr>
                    <w:t>行政部</w:t>
                  </w:r>
                </w:p>
              </w:tc>
              <w:tc>
                <w:tcPr>
                  <w:tcW w:w="1774" w:type="dxa"/>
                  <w:shd w:val="clear" w:color="auto" w:fill="auto"/>
                  <w:vAlign w:val="center"/>
                </w:tcPr>
                <w:p>
                  <w:pPr>
                    <w:shd w:val="clear" w:color="auto" w:fill="C7DAF1" w:themeFill="text2" w:themeFillTint="32"/>
                    <w:rPr>
                      <w:rFonts w:hint="eastAsia" w:ascii="宋体" w:hAnsi="宋体" w:eastAsia="宋体" w:cs="Times New Roman"/>
                      <w:highlight w:val="none"/>
                      <w:lang w:val="en-US" w:eastAsia="zh-CN"/>
                    </w:rPr>
                  </w:pPr>
                  <w:r>
                    <w:rPr>
                      <w:rFonts w:hint="eastAsia" w:ascii="宋体" w:hAnsi="宋体" w:eastAsia="宋体" w:cs="Times New Roman"/>
                      <w:highlight w:val="none"/>
                    </w:rPr>
                    <w:t>100</w:t>
                  </w:r>
                  <w:r>
                    <w:rPr>
                      <w:rFonts w:hint="eastAsia" w:ascii="宋体" w:hAnsi="宋体" w:eastAsia="宋体"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highlight w:val="none"/>
                    </w:rPr>
                  </w:pPr>
                  <w:r>
                    <w:rPr>
                      <w:rFonts w:hint="eastAsia" w:ascii="宋体" w:hAnsi="宋体" w:eastAsia="宋体" w:cs="Times New Roman"/>
                      <w:highlight w:val="none"/>
                      <w:lang w:eastAsia="zh-CN"/>
                    </w:rPr>
                    <w:t>顾客满意度90分以上</w:t>
                  </w:r>
                </w:p>
              </w:tc>
              <w:tc>
                <w:tcPr>
                  <w:tcW w:w="3136"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lang w:eastAsia="zh-CN"/>
                    </w:rPr>
                    <w:t>满意得分和/总调查数</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eastAsia="zh-CN"/>
                    </w:rPr>
                  </w:pPr>
                  <w:r>
                    <w:rPr>
                      <w:rFonts w:hint="eastAsia" w:ascii="宋体" w:hAnsi="宋体" w:eastAsia="宋体" w:cs="Times New Roman"/>
                      <w:highlight w:val="none"/>
                      <w:lang w:val="en-US" w:eastAsia="zh-CN"/>
                    </w:rPr>
                    <w:t>市场部</w:t>
                  </w:r>
                </w:p>
              </w:tc>
              <w:tc>
                <w:tcPr>
                  <w:tcW w:w="1774"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94分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auto"/>
                    <w:rPr>
                      <w:rFonts w:hint="eastAsia" w:ascii="宋体" w:hAnsi="宋体" w:cs="Times New Roman"/>
                      <w:highlight w:val="none"/>
                    </w:rPr>
                  </w:pPr>
                </w:p>
              </w:tc>
              <w:tc>
                <w:tcPr>
                  <w:tcW w:w="3136" w:type="dxa"/>
                  <w:shd w:val="clear" w:color="auto" w:fill="auto"/>
                  <w:vAlign w:val="center"/>
                </w:tcPr>
                <w:p>
                  <w:pPr>
                    <w:spacing w:line="360" w:lineRule="auto"/>
                    <w:rPr>
                      <w:rFonts w:hint="eastAsia" w:ascii="宋体" w:hAnsi="宋体" w:cs="Times New Roman"/>
                      <w:highlight w:val="none"/>
                    </w:rPr>
                  </w:pPr>
                </w:p>
              </w:tc>
              <w:tc>
                <w:tcPr>
                  <w:tcW w:w="1350" w:type="dxa"/>
                  <w:shd w:val="clear" w:color="auto" w:fill="auto"/>
                  <w:vAlign w:val="center"/>
                </w:tcPr>
                <w:p>
                  <w:pPr>
                    <w:shd w:val="clear" w:color="auto" w:fill="C7DAF1" w:themeFill="text2" w:themeFillTint="32"/>
                    <w:rPr>
                      <w:rFonts w:hint="eastAsia" w:ascii="宋体" w:hAnsi="宋体" w:cs="Times New Roman"/>
                      <w:highlight w:val="none"/>
                    </w:rPr>
                  </w:pPr>
                </w:p>
              </w:tc>
              <w:tc>
                <w:tcPr>
                  <w:tcW w:w="1774"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szCs w:val="21"/>
                    </w:rP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200</w:t>
            </w:r>
            <w:r>
              <w:rPr>
                <w:rFonts w:hint="eastAsia"/>
                <w:highlight w:val="none"/>
              </w:rPr>
              <w:t>平方米</w:t>
            </w:r>
            <w:r>
              <w:rPr>
                <w:rFonts w:hint="eastAsia"/>
              </w:rPr>
              <w:t>；生产车间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hAnsi="宋体"/>
                <w:szCs w:val="21"/>
                <w:highlight w:val="none"/>
                <w:u w:val="single"/>
                <w:lang w:val="en-US" w:eastAsia="zh-CN"/>
              </w:rPr>
              <w:t>电脑、打印机</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highlight w:val="none"/>
                <w:u w:val="single"/>
                <w:lang w:val="en-US" w:eastAsia="zh-CN"/>
              </w:rPr>
              <w:t xml:space="preserve">                </w:t>
            </w:r>
            <w:r>
              <w:rPr>
                <w:rFonts w:hint="eastAsia"/>
                <w:color w:val="000000"/>
                <w:highlight w:val="none"/>
                <w:u w:val="single"/>
                <w:lang w:val="en-US" w:eastAsia="zh-CN"/>
              </w:rPr>
              <w:t>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highlight w:val="none"/>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rFonts w:hint="eastAsia" w:eastAsia="宋体"/>
                      <w:sz w:val="20"/>
                      <w:lang w:eastAsia="zh-CN"/>
                    </w:rPr>
                    <w:t>电线、电缆销售</w:t>
                  </w:r>
                </w:p>
              </w:tc>
              <w:tc>
                <w:tcPr>
                  <w:tcW w:w="2543"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sz w:val="20"/>
                      <w:lang w:val="en-US" w:eastAsia="zh-CN"/>
                    </w:rPr>
                    <w:t>销售服务过程</w:t>
                  </w:r>
                </w:p>
              </w:tc>
              <w:tc>
                <w:tcPr>
                  <w:tcW w:w="3265" w:type="dxa"/>
                </w:tcPr>
                <w:p>
                  <w:pPr>
                    <w:shd w:val="clear" w:color="auto" w:fill="C7DAF1" w:themeFill="text2" w:themeFillTint="32"/>
                    <w:jc w:val="left"/>
                    <w:rPr>
                      <w:rFonts w:hint="default" w:eastAsia="宋体"/>
                      <w:lang w:val="en-US" w:eastAsia="zh-CN"/>
                    </w:rPr>
                  </w:pPr>
                  <w:r>
                    <w:rPr>
                      <w:rFonts w:hint="eastAsia" w:ascii="Times New Roman" w:hAnsi="Times New Roman" w:eastAsia="宋体" w:cs="Times New Roman"/>
                      <w:color w:val="auto"/>
                      <w:lang w:val="en-US" w:eastAsia="zh-CN"/>
                    </w:rPr>
                    <w:t>合同、金额</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ascii="Times New Roman" w:hAnsi="Times New Roman" w:eastAsia="宋体" w:cs="Times New Roman"/>
                <w:sz w:val="20"/>
                <w:u w:val="single"/>
                <w:lang w:val="en-US" w:eastAsia="zh-CN"/>
              </w:rPr>
              <w:t>销售服务过程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jc w:val="left"/>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w:t>
            </w:r>
            <w:r>
              <w:rPr>
                <w:rFonts w:hint="eastAsia"/>
                <w:highlight w:val="none"/>
              </w:rPr>
              <w:t>验</w:t>
            </w:r>
            <w:r>
              <w:rPr>
                <w:rFonts w:hint="eastAsia" w:ascii="Wingdings" w:hAnsi="Wingdings"/>
                <w:highlight w:val="none"/>
                <w:lang w:eastAsia="zh-CN"/>
              </w:rPr>
              <w:t>■</w:t>
            </w:r>
            <w:r>
              <w:rPr>
                <w:rFonts w:hint="eastAsia"/>
                <w:highlight w:val="none"/>
              </w:rPr>
              <w:t>最终检验</w:t>
            </w:r>
            <w:r>
              <w:rPr>
                <w:rFonts w:hint="eastAsia" w:ascii="Wingdings" w:hAnsi="Wingdings"/>
                <w:highlight w:val="none"/>
                <w:lang w:eastAsia="zh-CN"/>
              </w:rPr>
              <w:t>□</w:t>
            </w:r>
            <w:r>
              <w:rPr>
                <w:rFonts w:hint="eastAsia"/>
                <w:highlight w:val="none"/>
              </w:rPr>
              <w:t>型式检验</w:t>
            </w:r>
            <w:r>
              <w:rPr>
                <w:rFonts w:hint="eastAsia" w:ascii="Wingdings" w:hAnsi="Wingdings"/>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 xml:space="preserve"> 等。</w:t>
            </w:r>
          </w:p>
          <w:p>
            <w:pPr>
              <w:ind w:left="840" w:hanging="840" w:hangingChars="400"/>
              <w:rPr>
                <w:rFonts w:hint="eastAsia"/>
                <w:color w:val="000000"/>
                <w:u w:val="none"/>
                <w:lang w:val="en-US" w:eastAsia="zh-CN"/>
              </w:rPr>
            </w:pPr>
            <w:r>
              <w:rPr>
                <w:rFonts w:hint="eastAsia" w:eastAsia="宋体"/>
              </w:rPr>
              <w:t>《型式检验报告》，</w:t>
            </w:r>
            <w:r>
              <w:rPr>
                <w:rFonts w:hint="eastAsia"/>
              </w:rPr>
              <w:t>如：</w:t>
            </w:r>
            <w:r>
              <w:rPr>
                <w:rFonts w:hint="eastAsia"/>
                <w:lang w:val="en-US" w:eastAsia="zh-CN"/>
              </w:rPr>
              <w:t>1、</w:t>
            </w:r>
            <w:r>
              <w:rPr>
                <w:rFonts w:hint="eastAsia"/>
                <w:color w:val="000000"/>
              </w:rPr>
              <w:t>检测部门名称：</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color w:val="000000"/>
              </w:rPr>
              <w:t>报告编号：</w:t>
            </w:r>
            <w:r>
              <w:rPr>
                <w:rFonts w:hint="eastAsia"/>
                <w:color w:val="000000"/>
                <w:u w:val="single"/>
                <w:lang w:val="en-US" w:eastAsia="zh-CN"/>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rFonts w:hint="eastAsia"/>
                <w:color w:val="000000"/>
                <w:u w:val="none"/>
                <w:lang w:val="en-US" w:eastAsia="zh-CN"/>
              </w:rPr>
              <w:t>；结论：</w:t>
            </w:r>
          </w:p>
          <w:p>
            <w:pPr>
              <w:rPr>
                <w:rFonts w:hint="default" w:eastAsia="宋体"/>
                <w:color w:val="000000"/>
                <w:u w:val="single"/>
                <w:lang w:val="en-US" w:eastAsia="zh-CN"/>
              </w:rPr>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p>
          <w:p>
            <w:pPr>
              <w:rPr>
                <w:color w:val="000000"/>
                <w:u w:val="single"/>
              </w:rPr>
            </w:pPr>
            <w:r>
              <w:rPr>
                <w:rFonts w:hint="eastAsia"/>
                <w:color w:val="000000"/>
                <w:u w:val="none"/>
                <w:lang w:val="en-US" w:eastAsia="zh-CN"/>
              </w:rPr>
              <w:t xml:space="preserve"> 2、</w:t>
            </w:r>
            <w:r>
              <w:rPr>
                <w:rFonts w:hint="eastAsia"/>
                <w:color w:val="000000"/>
              </w:rPr>
              <w:t>检测部门名称：</w:t>
            </w:r>
            <w:r>
              <w:rPr>
                <w:color w:val="000000"/>
                <w:u w:val="single"/>
              </w:rPr>
              <w:t xml:space="preserve"> </w:t>
            </w:r>
            <w:r>
              <w:rPr>
                <w:rFonts w:hint="eastAsia"/>
                <w:color w:val="000000"/>
                <w:u w:val="single"/>
              </w:rPr>
              <w:t>；</w:t>
            </w:r>
            <w:r>
              <w:rPr>
                <w:rFonts w:hint="eastAsia"/>
                <w:color w:val="000000"/>
              </w:rPr>
              <w:t>报告编号：</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color w:val="000000"/>
                <w:u w:val="none"/>
              </w:rPr>
              <w:t xml:space="preserve"> </w:t>
            </w:r>
            <w:r>
              <w:rPr>
                <w:rFonts w:hint="eastAsia"/>
                <w:color w:val="000000"/>
                <w:u w:val="none"/>
                <w:lang w:eastAsia="zh-CN"/>
              </w:rPr>
              <w:t>；</w:t>
            </w:r>
            <w:r>
              <w:rPr>
                <w:rFonts w:hint="eastAsia"/>
                <w:color w:val="000000"/>
                <w:u w:val="none"/>
                <w:lang w:val="en-US" w:eastAsia="zh-CN"/>
              </w:rPr>
              <w:t>结论：   。</w:t>
            </w:r>
            <w:r>
              <w:rPr>
                <w:rFonts w:hint="eastAsia"/>
                <w:color w:val="000000"/>
                <w:u w:val="none"/>
              </w:rPr>
              <w:t xml:space="preserve"> </w:t>
            </w:r>
          </w:p>
          <w:p>
            <w:pPr>
              <w:shd w:val="clear" w:color="auto" w:fill="C7DAF1" w:themeFill="text2" w:themeFillTint="32"/>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2022年3月28-29日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2022年4月1日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rFonts w:hint="eastAsia" w:eastAsia="宋体"/>
                <w:lang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lang w:eastAsia="zh-CN"/>
              </w:rPr>
              <w:t>□</w:t>
            </w:r>
            <w:r>
              <w:rPr>
                <w:rFonts w:hint="eastAsia"/>
              </w:rPr>
              <w:t>环保监测</w:t>
            </w:r>
            <w:r>
              <w:rPr>
                <w:rFonts w:hint="eastAsia"/>
                <w:lang w:eastAsia="zh-CN"/>
              </w:rPr>
              <w:t>■</w:t>
            </w:r>
            <w:r>
              <w:rPr>
                <w:rFonts w:hint="eastAsia"/>
              </w:rPr>
              <w:t>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exact"/>
              <w:ind w:right="210"/>
              <w:jc w:val="center"/>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lang w:eastAsia="zh-CN"/>
              </w:rPr>
              <w:t>“</w:t>
            </w:r>
            <w:r>
              <w:rPr>
                <w:rFonts w:hint="eastAsia"/>
                <w:color w:val="000000"/>
                <w:szCs w:val="18"/>
              </w:rPr>
              <w:t>质量第一、管理至上，以客为尊，持续改进！遵守法规，预防污染，节能降耗，持续改进！</w:t>
            </w:r>
            <w:r>
              <w:rPr>
                <w:rFonts w:hint="eastAsia" w:ascii="Times New Roman" w:hAnsi="Times New Roman" w:eastAsia="宋体" w:cs="Times New Roman"/>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rPr>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5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widowControl/>
                    <w:spacing w:before="40"/>
                    <w:jc w:val="left"/>
                    <w:rPr>
                      <w:rFonts w:hint="eastAsia" w:ascii="宋体" w:hAnsi="宋体" w:eastAsia="宋体" w:cs="Times New Roman"/>
                      <w:lang w:val="en-US" w:eastAsia="zh-CN"/>
                    </w:rPr>
                  </w:pPr>
                  <w:r>
                    <w:rPr>
                      <w:rFonts w:hint="eastAsia" w:ascii="Times New Roman" w:hAnsi="Times New Roman" w:eastAsia="宋体" w:cs="Times New Roman"/>
                      <w:color w:val="000000"/>
                      <w:szCs w:val="18"/>
                      <w:highlight w:val="none"/>
                    </w:rPr>
                    <w:t>固废综合处理率100</w:t>
                  </w:r>
                  <w:r>
                    <w:rPr>
                      <w:rFonts w:hint="eastAsia"/>
                      <w:color w:val="000000"/>
                      <w:szCs w:val="18"/>
                      <w:highlight w:val="none"/>
                    </w:rPr>
                    <w:t>%</w:t>
                  </w:r>
                </w:p>
              </w:tc>
              <w:tc>
                <w:tcPr>
                  <w:tcW w:w="2773"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widowControl/>
                    <w:spacing w:before="40"/>
                    <w:jc w:val="left"/>
                    <w:rPr>
                      <w:rFonts w:hint="eastAsia" w:ascii="宋体" w:hAnsi="宋体" w:eastAsia="宋体" w:cs="Times New Roman"/>
                      <w:lang w:val="en-US" w:eastAsia="zh-CN"/>
                    </w:rPr>
                  </w:pPr>
                  <w:r>
                    <w:rPr>
                      <w:rFonts w:hint="eastAsia" w:ascii="Times New Roman" w:hAnsi="Times New Roman" w:eastAsia="宋体" w:cs="Times New Roman"/>
                      <w:color w:val="000000"/>
                      <w:szCs w:val="18"/>
                      <w:highlight w:val="none"/>
                    </w:rPr>
                    <w:t>火灾事故为0</w:t>
                  </w:r>
                </w:p>
              </w:tc>
              <w:tc>
                <w:tcPr>
                  <w:tcW w:w="2773"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行政部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建筑面积</w:t>
            </w:r>
            <w:r>
              <w:rPr>
                <w:rFonts w:hint="eastAsia"/>
                <w:lang w:val="en-US" w:eastAsia="zh-CN"/>
              </w:rPr>
              <w:t>200</w:t>
            </w:r>
            <w:r>
              <w:rPr>
                <w:rFonts w:hint="eastAsia" w:eastAsia="宋体"/>
              </w:rPr>
              <w:t>平方米；生产车间</w:t>
            </w:r>
            <w:r>
              <w:rPr>
                <w:rFonts w:hint="eastAsia"/>
                <w:lang w:val="en-US" w:eastAsia="zh-CN"/>
              </w:rPr>
              <w:t xml:space="preserve"> </w:t>
            </w:r>
            <w:r>
              <w:rPr>
                <w:rFonts w:hint="eastAsia" w:eastAsia="宋体"/>
              </w:rPr>
              <w:t>个；库房</w:t>
            </w:r>
            <w:r>
              <w:rPr>
                <w:rFonts w:hint="eastAsia"/>
                <w:lang w:val="en-US" w:eastAsia="zh-CN"/>
              </w:rPr>
              <w:t xml:space="preserve">  </w:t>
            </w:r>
            <w:r>
              <w:rPr>
                <w:rFonts w:hint="eastAsia" w:eastAsia="宋体"/>
              </w:rPr>
              <w:t>个；实验室</w:t>
            </w:r>
            <w:r>
              <w:rPr>
                <w:rFonts w:hint="eastAsia"/>
                <w:lang w:val="en-US" w:eastAsia="zh-CN"/>
              </w:rPr>
              <w:t xml:space="preserve">  </w:t>
            </w:r>
            <w:r>
              <w:rPr>
                <w:rFonts w:hint="eastAsia" w:eastAsia="宋体"/>
              </w:rPr>
              <w:t>个；</w:t>
            </w:r>
          </w:p>
          <w:p>
            <w:pPr>
              <w:shd w:val="clear" w:color="auto" w:fill="EBF1DE" w:themeFill="accent3" w:themeFillTint="32"/>
              <w:rPr>
                <w:rFonts w:hint="eastAsia" w:eastAsia="宋体"/>
              </w:rPr>
            </w:pPr>
            <w:r>
              <w:rPr>
                <w:rFonts w:hint="eastAsia" w:eastAsia="宋体"/>
              </w:rPr>
              <w:t>主要生产设备有：</w:t>
            </w:r>
            <w:r>
              <w:rPr>
                <w:rFonts w:hint="eastAsia" w:hAnsi="宋体"/>
                <w:szCs w:val="21"/>
                <w:highlight w:val="none"/>
                <w:u w:val="single"/>
                <w:lang w:val="en-US" w:eastAsia="zh-CN"/>
              </w:rPr>
              <w:t>电脑、打印机</w:t>
            </w:r>
            <w:r>
              <w:rPr>
                <w:rFonts w:hint="eastAsia" w:eastAsia="宋体"/>
              </w:rPr>
              <w:t>等</w:t>
            </w:r>
            <w:r>
              <w:rPr>
                <w:rFonts w:hint="eastAsia" w:eastAsia="宋体"/>
                <w:lang w:val="en-US" w:eastAsia="zh-CN"/>
              </w:rPr>
              <w:t xml:space="preserve"> </w:t>
            </w:r>
          </w:p>
          <w:p>
            <w:pPr>
              <w:shd w:val="clear" w:color="auto" w:fill="EBF1DE" w:themeFill="accent3" w:themeFillTint="32"/>
              <w:rPr>
                <w:rFonts w:hint="eastAsia" w:eastAsia="宋体"/>
              </w:rPr>
            </w:pPr>
            <w:r>
              <w:rPr>
                <w:rFonts w:hint="eastAsia" w:eastAsia="宋体"/>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eastAsia="宋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eastAsia="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eastAsia="宋体"/>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2021</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25</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2022年3月28-29日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2022年4月1日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bookmarkStart w:id="34" w:name="_GoBack"/>
            <w:bookmarkEnd w:id="34"/>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05705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18622</Words>
  <Characters>19363</Characters>
  <Lines>150</Lines>
  <Paragraphs>42</Paragraphs>
  <TotalTime>2</TotalTime>
  <ScaleCrop>false</ScaleCrop>
  <LinksUpToDate>false</LinksUpToDate>
  <CharactersWithSpaces>19484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2022-04-07T09:09:15Z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