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0111-2020-E-2022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河北铭宇通信器材有限公司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河北铭宇通信器材有限公司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任丘市麻家坞镇南马庄村</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任丘市麻家坞镇南马庄村</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马胜君</w:t>
            </w:r>
            <w:bookmarkEnd w:id="10"/>
          </w:p>
        </w:tc>
        <w:tc>
          <w:tcPr>
            <w:tcW w:w="1313" w:type="dxa"/>
            <w:vAlign w:val="center"/>
          </w:tcPr>
          <w:p>
            <w:r>
              <w:rPr>
                <w:rFonts w:hint="eastAsia"/>
              </w:rPr>
              <w:t>电话.</w:t>
            </w:r>
          </w:p>
        </w:tc>
        <w:tc>
          <w:tcPr>
            <w:tcW w:w="2180" w:type="dxa"/>
            <w:vAlign w:val="center"/>
          </w:tcPr>
          <w:p>
            <w:bookmarkStart w:id="11" w:name="联系人电话"/>
            <w:r>
              <w:t>13832770866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马胜君</w:t>
            </w:r>
            <w:bookmarkEnd w:id="13"/>
          </w:p>
        </w:tc>
        <w:tc>
          <w:tcPr>
            <w:tcW w:w="1313" w:type="dxa"/>
            <w:vAlign w:val="center"/>
          </w:tcPr>
          <w:p>
            <w:r>
              <w:rPr>
                <w:rFonts w:hint="eastAsia"/>
              </w:rPr>
              <w:t>管理者代表</w:t>
            </w:r>
          </w:p>
        </w:tc>
        <w:tc>
          <w:tcPr>
            <w:tcW w:w="2180" w:type="dxa"/>
          </w:tcPr>
          <w:p>
            <w:bookmarkStart w:id="14" w:name="管理者代表"/>
            <w:r>
              <w:t>耿照华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eastAsia="宋体"/>
                <w:lang w:val="en-US" w:eastAsia="zh-CN"/>
              </w:rPr>
            </w:pPr>
            <w:r>
              <w:rPr>
                <w:rFonts w:hint="eastAsia" w:ascii="宋体" w:hAnsi="宋体"/>
                <w:lang w:val="en-US" w:eastAsia="zh-CN"/>
              </w:rPr>
              <w:t>销售服务流程：</w:t>
            </w:r>
          </w:p>
          <w:p>
            <w:r>
              <w:rPr>
                <w:rFonts w:hint="eastAsia" w:ascii="宋体" w:hAnsi="宋体"/>
              </w:rPr>
              <w:t>接到订单-评审-签合同-采购-进货(检验)-销售（包括运输送货）-客户签收-满意度调查</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w:t>
            </w:r>
            <w:r>
              <w:rPr>
                <w:rFonts w:hint="eastAsia"/>
                <w:lang w:val="en-US" w:eastAsia="zh-CN"/>
              </w:rPr>
              <w:t>8</w:t>
            </w:r>
            <w:r>
              <w:rPr>
                <w:rFonts w:hint="eastAsia"/>
              </w:rPr>
              <w:t>日 上午至2022年04月</w:t>
            </w:r>
            <w:r>
              <w:rPr>
                <w:rFonts w:hint="eastAsia"/>
                <w:lang w:val="en-US" w:eastAsia="zh-CN"/>
              </w:rPr>
              <w:t>8</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音频</w:t>
            </w:r>
            <w:r>
              <w:rPr>
                <w:rFonts w:hint="eastAsia"/>
                <w:lang w:val="de-DE"/>
              </w:rPr>
              <w:t>■</w:t>
            </w:r>
            <w:r>
              <w:rPr>
                <w:rFonts w:hint="eastAsia" w:ascii="宋体"/>
                <w:b/>
                <w:color w:val="0000FF"/>
                <w:szCs w:val="21"/>
              </w:rPr>
              <w:t>视频</w:t>
            </w:r>
            <w:r>
              <w:rPr>
                <w:rFonts w:hint="eastAsia"/>
                <w:lang w:val="de-DE"/>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网络</w:t>
            </w:r>
            <w:r>
              <w:rPr>
                <w:rFonts w:hint="eastAsia"/>
                <w:lang w:val="de-DE"/>
              </w:rPr>
              <w:t>■</w:t>
            </w:r>
            <w:r>
              <w:rPr>
                <w:rFonts w:hint="eastAsia" w:ascii="宋体"/>
                <w:b/>
                <w:color w:val="0000FF"/>
                <w:szCs w:val="21"/>
              </w:rPr>
              <w:t>智能手机□手持设备</w:t>
            </w:r>
            <w:r>
              <w:rPr>
                <w:rFonts w:hint="eastAsia"/>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通信光缆、塑料通信器材、钢绞线、通信铁件、电话线、通信箱体、线路铁件（电力铁附件）、线路警示牌、标识牌、通信井具、电力铁件、电力管材（PE管材、PVC管材、MPP管材）、走线架的销售及其相关的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val="de-DE"/>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03"/>
        <w:gridCol w:w="783"/>
        <w:gridCol w:w="3055"/>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803" w:type="dxa"/>
            <w:shd w:val="clear" w:color="auto" w:fill="F3F3F3"/>
            <w:tcMar>
              <w:left w:w="57" w:type="dxa"/>
              <w:right w:w="57" w:type="dxa"/>
            </w:tcMar>
          </w:tcPr>
          <w:p>
            <w:r>
              <w:rPr>
                <w:rFonts w:hint="eastAsia"/>
              </w:rPr>
              <w:t>经营场所的地址</w:t>
            </w:r>
          </w:p>
          <w:p>
            <w:r>
              <w:rPr>
                <w:rFonts w:hint="eastAsia"/>
              </w:rPr>
              <w:t>（多现场和临时现场）</w:t>
            </w:r>
          </w:p>
        </w:tc>
        <w:tc>
          <w:tcPr>
            <w:tcW w:w="783" w:type="dxa"/>
            <w:shd w:val="clear" w:color="auto" w:fill="F3F3F3"/>
            <w:tcMar>
              <w:left w:w="57" w:type="dxa"/>
              <w:right w:w="57" w:type="dxa"/>
            </w:tcMar>
          </w:tcPr>
          <w:p>
            <w:r>
              <w:rPr>
                <w:rFonts w:hint="eastAsia"/>
              </w:rPr>
              <w:t>员工人数</w:t>
            </w:r>
          </w:p>
        </w:tc>
        <w:tc>
          <w:tcPr>
            <w:tcW w:w="3055"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河北铭宇通信器材有限公司</w:t>
            </w:r>
          </w:p>
          <w:p>
            <w:pPr>
              <w:pStyle w:val="12"/>
              <w:rPr>
                <w:lang w:val="de-DE" w:eastAsia="ja-JP"/>
              </w:rPr>
            </w:pPr>
            <w:r>
              <w:rPr>
                <w:rFonts w:asciiTheme="minorEastAsia" w:hAnsiTheme="minorEastAsia" w:eastAsiaTheme="minorEastAsia"/>
                <w:sz w:val="20"/>
              </w:rPr>
              <w:t>任丘市麻家坞镇南马庄村</w:t>
            </w:r>
          </w:p>
        </w:tc>
        <w:tc>
          <w:tcPr>
            <w:tcW w:w="1803" w:type="dxa"/>
          </w:tcPr>
          <w:p>
            <w:pPr>
              <w:rPr>
                <w:lang w:val="de-DE" w:eastAsia="ja-JP"/>
              </w:rPr>
            </w:pPr>
            <w:r>
              <w:rPr>
                <w:rFonts w:asciiTheme="minorEastAsia" w:hAnsiTheme="minorEastAsia" w:eastAsiaTheme="minorEastAsia"/>
                <w:sz w:val="20"/>
              </w:rPr>
              <w:t>任丘市麻家坞镇南马庄村</w:t>
            </w:r>
          </w:p>
        </w:tc>
        <w:tc>
          <w:tcPr>
            <w:tcW w:w="783" w:type="dxa"/>
            <w:vAlign w:val="center"/>
          </w:tcPr>
          <w:p>
            <w:pPr>
              <w:rPr>
                <w:rFonts w:hint="eastAsia" w:eastAsia="宋体"/>
                <w:lang w:val="en-US" w:eastAsia="zh-CN"/>
              </w:rPr>
            </w:pPr>
            <w:r>
              <w:rPr>
                <w:rFonts w:hint="eastAsia"/>
                <w:lang w:val="en-US" w:eastAsia="zh-CN"/>
              </w:rPr>
              <w:t>25</w:t>
            </w:r>
          </w:p>
        </w:tc>
        <w:tc>
          <w:tcPr>
            <w:tcW w:w="3055" w:type="dxa"/>
            <w:vAlign w:val="center"/>
          </w:tcPr>
          <w:p>
            <w:pPr>
              <w:rPr>
                <w:lang w:eastAsia="ja-JP"/>
              </w:rPr>
            </w:pPr>
            <w:r>
              <w:rPr>
                <w:sz w:val="20"/>
              </w:rPr>
              <w:t>通信光缆、塑料通信器材、钢绞线、通信铁件、电话线、通信箱体、线路铁件（电力铁附件）、线路警示牌、标识牌、通信井具、电力铁件、电力管材（PE管材、PVC管材、MPP管材）、走线架的销售及其相关的环境管理活动。</w:t>
            </w:r>
          </w:p>
        </w:tc>
        <w:tc>
          <w:tcPr>
            <w:tcW w:w="669" w:type="dxa"/>
            <w:vAlign w:val="center"/>
          </w:tcPr>
          <w:p>
            <w:pPr>
              <w:rPr>
                <w:lang w:eastAsia="ja-JP"/>
              </w:rPr>
            </w:pPr>
            <w:r>
              <w:rPr>
                <w:rFonts w:hint="eastAsia"/>
                <w:lang w:val="de-DE"/>
              </w:rPr>
              <w:t>GB/T24001-2016</w:t>
            </w:r>
            <w:r>
              <w:rPr>
                <w:rFonts w:hint="eastAsia"/>
              </w:rPr>
              <w:t>/</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803" w:type="dxa"/>
            <w:vAlign w:val="center"/>
          </w:tcPr>
          <w:p>
            <w:pPr>
              <w:rPr>
                <w:lang w:eastAsia="ja-JP"/>
              </w:rPr>
            </w:pPr>
          </w:p>
        </w:tc>
        <w:tc>
          <w:tcPr>
            <w:tcW w:w="783" w:type="dxa"/>
            <w:vAlign w:val="center"/>
          </w:tcPr>
          <w:p>
            <w:pPr>
              <w:rPr>
                <w:lang w:eastAsia="ja-JP"/>
              </w:rPr>
            </w:pPr>
          </w:p>
        </w:tc>
        <w:tc>
          <w:tcPr>
            <w:tcW w:w="3055"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803" w:type="dxa"/>
            <w:vAlign w:val="center"/>
          </w:tcPr>
          <w:p>
            <w:pPr>
              <w:rPr>
                <w:lang w:eastAsia="ja-JP"/>
              </w:rPr>
            </w:pPr>
          </w:p>
        </w:tc>
        <w:tc>
          <w:tcPr>
            <w:tcW w:w="783" w:type="dxa"/>
            <w:vAlign w:val="center"/>
          </w:tcPr>
          <w:p>
            <w:pPr>
              <w:rPr>
                <w:lang w:eastAsia="ja-JP"/>
              </w:rPr>
            </w:pPr>
          </w:p>
        </w:tc>
        <w:tc>
          <w:tcPr>
            <w:tcW w:w="3055"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803" w:type="dxa"/>
            <w:vAlign w:val="center"/>
          </w:tcPr>
          <w:p>
            <w:pPr>
              <w:rPr>
                <w:lang w:eastAsia="ja-JP"/>
              </w:rPr>
            </w:pPr>
          </w:p>
        </w:tc>
        <w:tc>
          <w:tcPr>
            <w:tcW w:w="783" w:type="dxa"/>
            <w:vAlign w:val="center"/>
          </w:tcPr>
          <w:p>
            <w:pPr>
              <w:rPr>
                <w:lang w:eastAsia="ja-JP"/>
              </w:rPr>
            </w:pPr>
          </w:p>
        </w:tc>
        <w:tc>
          <w:tcPr>
            <w:tcW w:w="3055"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803" w:type="dxa"/>
            <w:vAlign w:val="center"/>
          </w:tcPr>
          <w:p>
            <w:pPr>
              <w:rPr>
                <w:lang w:eastAsia="ja-JP"/>
              </w:rPr>
            </w:pPr>
          </w:p>
        </w:tc>
        <w:tc>
          <w:tcPr>
            <w:tcW w:w="783" w:type="dxa"/>
            <w:vAlign w:val="center"/>
          </w:tcPr>
          <w:p>
            <w:pPr>
              <w:rPr>
                <w:lang w:eastAsia="ja-JP"/>
              </w:rPr>
            </w:pPr>
          </w:p>
        </w:tc>
        <w:tc>
          <w:tcPr>
            <w:tcW w:w="3055"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2021-N1EMS-1244880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val="de-DE"/>
        </w:rPr>
        <w:t>■</w:t>
      </w:r>
      <w:r>
        <w:rPr>
          <w:rFonts w:hint="eastAsia"/>
        </w:rPr>
        <w:t>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de-DE"/>
              </w:rPr>
              <w:t>■</w:t>
            </w:r>
            <w:r>
              <w:rPr>
                <w:rFonts w:hint="eastAsia"/>
              </w:rPr>
              <w:t>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推荐保持认证注册(</w:t>
            </w:r>
            <w:r>
              <w:rPr>
                <w:rFonts w:hint="eastAsia"/>
                <w:lang w:val="de-DE"/>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lang w:val="de-DE"/>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1003300" cy="3746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03300" cy="3746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2022.4.8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rPr>
          <w:rFonts w:hint="eastAsia"/>
          <w:lang w:val="en-US" w:eastAsia="zh-CN"/>
        </w:rPr>
        <w:t xml:space="preserve"> </w:t>
      </w:r>
      <w:r>
        <w:t>附件 ISO 14001:2015 (若不是ISO 14001:2015审核请删除)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val="de-DE"/>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w:t>
                  </w:r>
                </w:p>
                <w:p>
                  <w:pPr>
                    <w:shd w:val="clear" w:color="auto" w:fill="EBF1DE" w:themeFill="accent3" w:themeFillTint="32"/>
                  </w:pPr>
                  <w:r>
                    <w:rPr>
                      <w:rFonts w:hint="eastAsia"/>
                      <w:lang w:val="de-DE"/>
                    </w:rPr>
                    <w:t>■</w:t>
                  </w:r>
                  <w:r>
                    <w:rPr>
                      <w:rFonts w:hint="eastAsia"/>
                    </w:rPr>
                    <w:t>政治</w:t>
                  </w:r>
                  <w:r>
                    <w:rPr>
                      <w:rFonts w:hint="eastAsia"/>
                      <w:lang w:val="de-DE"/>
                    </w:rPr>
                    <w:t>■</w:t>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w:t>
                  </w:r>
                </w:p>
                <w:p>
                  <w:pPr>
                    <w:shd w:val="clear" w:color="auto" w:fill="EBF1DE" w:themeFill="accent3" w:themeFillTint="32"/>
                  </w:pPr>
                  <w:r>
                    <w:rPr>
                      <w:rFonts w:hint="eastAsia"/>
                      <w:lang w:val="de-DE"/>
                    </w:rPr>
                    <w:t>■</w:t>
                  </w:r>
                  <w:r>
                    <w:t>活动、产品和服务</w:t>
                  </w:r>
                  <w:r>
                    <w:rPr>
                      <w:rFonts w:hint="eastAsia"/>
                      <w:lang w:val="de-DE"/>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lang w:val="de-DE"/>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val="de-DE"/>
              </w:rPr>
              <w:t>■</w:t>
            </w:r>
            <w:r>
              <w:rPr>
                <w:rFonts w:hint="eastAsia"/>
              </w:rPr>
              <w:t>采购</w:t>
            </w:r>
            <w:r>
              <w:rPr>
                <w:rFonts w:hint="eastAsia"/>
                <w:lang w:val="de-DE"/>
              </w:rPr>
              <w:t>■</w:t>
            </w:r>
            <w:r>
              <w:rPr>
                <w:rFonts w:hint="eastAsia"/>
              </w:rPr>
              <w:t>人力资源</w:t>
            </w:r>
            <w:r>
              <w:rPr>
                <w:rFonts w:hint="eastAsia"/>
                <w:lang w:val="de-DE"/>
              </w:rPr>
              <w:t>■</w:t>
            </w:r>
            <w:r>
              <w:rPr>
                <w:rFonts w:hint="eastAsia"/>
              </w:rPr>
              <w:t>营销和市场□生产</w:t>
            </w:r>
            <w:r>
              <w:rPr>
                <w:rFonts w:hint="eastAsia"/>
                <w:lang w:val="de-DE"/>
              </w:rPr>
              <w:t>■</w:t>
            </w:r>
            <w:r>
              <w:rPr>
                <w:rFonts w:hint="eastAsia"/>
              </w:rPr>
              <w:t>检验</w:t>
            </w:r>
            <w:r>
              <w:rPr>
                <w:rFonts w:hint="eastAsia"/>
                <w:lang w:val="de-DE"/>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val="de-DE"/>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val="de-DE"/>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ascii="楷体" w:hAnsi="楷体" w:eastAsia="楷体" w:cs="楷体"/>
                <w:sz w:val="21"/>
                <w:szCs w:val="21"/>
              </w:rPr>
              <w:t>科学管理，遵守法规，预防污染，持续改进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sz w:val="18"/>
                      <w:szCs w:val="18"/>
                    </w:rPr>
                    <w:t>公司产品售后服务处理不好，顾客埋怨投诉较多，以及产品寿命结束后的回收处理问题</w:t>
                  </w:r>
                </w:p>
              </w:tc>
              <w:tc>
                <w:tcPr>
                  <w:tcW w:w="3965" w:type="dxa"/>
                  <w:vAlign w:val="top"/>
                </w:tcPr>
                <w:p>
                  <w:pPr>
                    <w:shd w:val="clear" w:color="auto" w:fill="EBF1DE" w:themeFill="accent3" w:themeFillTint="32"/>
                  </w:pPr>
                  <w:r>
                    <w:rPr>
                      <w:rFonts w:hint="eastAsia" w:ascii="宋体" w:hAnsi="宋体" w:cs="宋体"/>
                      <w:b w:val="0"/>
                      <w:bCs w:val="0"/>
                      <w:kern w:val="0"/>
                      <w:sz w:val="18"/>
                      <w:szCs w:val="18"/>
                      <w:lang w:val="en-US" w:eastAsia="zh-CN" w:bidi="ar-SA"/>
                    </w:rPr>
                    <w:t>供销</w:t>
                  </w:r>
                  <w:r>
                    <w:rPr>
                      <w:rFonts w:hint="eastAsia" w:ascii="宋体" w:hAnsi="宋体" w:eastAsia="宋体" w:cs="宋体"/>
                      <w:b w:val="0"/>
                      <w:bCs w:val="0"/>
                      <w:kern w:val="0"/>
                      <w:sz w:val="18"/>
                      <w:szCs w:val="18"/>
                      <w:lang w:val="en-US" w:eastAsia="zh-CN" w:bidi="ar-SA"/>
                    </w:rPr>
                    <w:t>部要严格按照售后服务管理规定，做好客户服务工作</w:t>
                  </w:r>
                </w:p>
              </w:tc>
              <w:tc>
                <w:tcPr>
                  <w:tcW w:w="1717" w:type="dxa"/>
                  <w:vAlign w:val="top"/>
                </w:tcPr>
                <w:p>
                  <w:pPr>
                    <w:shd w:val="clear" w:color="auto" w:fill="EBF1DE" w:themeFill="accent3" w:themeFillTint="32"/>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ascii="Times New Roman" w:hAnsi="Times New Roman" w:eastAsia="宋体" w:cs="Times New Roman"/>
                      <w:sz w:val="18"/>
                      <w:szCs w:val="18"/>
                      <w:lang w:val="en-US" w:eastAsia="zh-CN"/>
                    </w:rPr>
                    <w:t>所销售产品</w:t>
                  </w:r>
                  <w:r>
                    <w:rPr>
                      <w:rFonts w:hint="default" w:ascii="Times New Roman" w:hAnsi="Times New Roman" w:eastAsia="宋体" w:cs="Times New Roman"/>
                      <w:sz w:val="18"/>
                      <w:szCs w:val="18"/>
                    </w:rPr>
                    <w:t>的</w:t>
                  </w:r>
                  <w:r>
                    <w:rPr>
                      <w:rFonts w:hint="eastAsia" w:ascii="Times New Roman" w:hAnsi="Times New Roman" w:eastAsia="宋体" w:cs="Times New Roman"/>
                      <w:sz w:val="18"/>
                      <w:szCs w:val="18"/>
                      <w:lang w:eastAsia="zh-CN"/>
                    </w:rPr>
                    <w:t>生</w:t>
                  </w:r>
                  <w:r>
                    <w:rPr>
                      <w:rFonts w:hint="eastAsia" w:ascii="Times New Roman" w:hAnsi="Times New Roman" w:eastAsia="宋体" w:cs="Times New Roman"/>
                      <w:sz w:val="18"/>
                      <w:szCs w:val="18"/>
                      <w:lang w:val="en-US" w:eastAsia="zh-CN"/>
                    </w:rPr>
                    <w:t>采购</w:t>
                  </w:r>
                  <w:r>
                    <w:rPr>
                      <w:rFonts w:hint="default" w:ascii="Times New Roman" w:hAnsi="Times New Roman" w:eastAsia="宋体" w:cs="Times New Roman"/>
                      <w:sz w:val="18"/>
                      <w:szCs w:val="18"/>
                    </w:rPr>
                    <w:t>、环境保障、安全保障能力</w:t>
                  </w:r>
                </w:p>
              </w:tc>
              <w:tc>
                <w:tcPr>
                  <w:tcW w:w="3965" w:type="dxa"/>
                  <w:vAlign w:val="top"/>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1制定管理方案</w:t>
                  </w:r>
                </w:p>
                <w:p>
                  <w:r>
                    <w:rPr>
                      <w:rFonts w:hint="eastAsia"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rPr>
                    <w:t>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val="de-DE"/>
              </w:rPr>
              <w:t>■</w:t>
            </w:r>
            <w:r>
              <w:rPr>
                <w:rFonts w:hint="eastAsia"/>
              </w:rPr>
              <w:t>废水排放</w:t>
            </w:r>
            <w:r>
              <w:rPr>
                <w:rFonts w:hint="eastAsia"/>
                <w:lang w:val="de-DE"/>
              </w:rPr>
              <w:t>■</w:t>
            </w:r>
            <w:r>
              <w:rPr>
                <w:rFonts w:hint="eastAsia"/>
              </w:rPr>
              <w:t>废气排放□粉尘排放□危废排放□噪声排放□危化品泄露□压力容器爆炸</w:t>
            </w:r>
            <w:r>
              <w:rPr>
                <w:rFonts w:hint="eastAsia"/>
                <w:lang w:val="de-DE"/>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val="de-DE"/>
              </w:rPr>
              <w:t>■</w:t>
            </w: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val="de-DE"/>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Times New Roman" w:hAnsi="Times New Roman" w:cs="Times New Roman"/>
                      <w:sz w:val="18"/>
                      <w:szCs w:val="18"/>
                      <w:lang w:val="en-US" w:eastAsia="zh-CN"/>
                    </w:rPr>
                    <w:t>固体废物100%分类收集</w:t>
                  </w:r>
                </w:p>
              </w:tc>
              <w:tc>
                <w:tcPr>
                  <w:tcW w:w="3136" w:type="dxa"/>
                  <w:shd w:val="clear" w:color="auto" w:fill="auto"/>
                  <w:vAlign w:val="center"/>
                </w:tcPr>
                <w:p>
                  <w:pPr>
                    <w:shd w:val="clear" w:color="auto" w:fill="EBF1DE" w:themeFill="accent3" w:themeFillTint="32"/>
                    <w:rPr>
                      <w:lang w:val="en-GB"/>
                    </w:rPr>
                  </w:pPr>
                  <w:r>
                    <w:rPr>
                      <w:rFonts w:hint="eastAsia" w:ascii="Times New Roman" w:hAnsi="Times New Roman" w:cs="Times New Roman"/>
                      <w:sz w:val="18"/>
                      <w:szCs w:val="18"/>
                      <w:lang w:val="en-US" w:eastAsia="zh-CN"/>
                    </w:rPr>
                    <w:t>办公室对人员进行培训，办公场所设置</w:t>
                  </w:r>
                  <w:r>
                    <w:rPr>
                      <w:rFonts w:hint="eastAsia" w:cs="Times New Roman"/>
                      <w:sz w:val="18"/>
                      <w:szCs w:val="18"/>
                      <w:lang w:val="en-US" w:eastAsia="zh-CN"/>
                    </w:rPr>
                    <w:t>固废分类处置箱</w:t>
                  </w:r>
                </w:p>
              </w:tc>
              <w:tc>
                <w:tcPr>
                  <w:tcW w:w="1350" w:type="dxa"/>
                  <w:shd w:val="clear" w:color="auto" w:fill="auto"/>
                  <w:vAlign w:val="center"/>
                </w:tcPr>
                <w:p>
                  <w:pPr>
                    <w:shd w:val="clear" w:color="auto" w:fill="EBF1DE" w:themeFill="accent3" w:themeFillTint="32"/>
                    <w:rPr>
                      <w:lang w:val="en-GB"/>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Times New Roman" w:hAnsi="Times New Roman" w:cs="Times New Roman"/>
                      <w:sz w:val="18"/>
                      <w:szCs w:val="18"/>
                      <w:lang w:val="en-US" w:eastAsia="zh-CN"/>
                    </w:rPr>
                    <w:t>火灾发生率0</w:t>
                  </w:r>
                </w:p>
              </w:tc>
              <w:tc>
                <w:tcPr>
                  <w:tcW w:w="3136" w:type="dxa"/>
                  <w:shd w:val="clear" w:color="auto" w:fill="auto"/>
                  <w:vAlign w:val="center"/>
                </w:tcPr>
                <w:p>
                  <w:pPr>
                    <w:shd w:val="clear" w:color="auto" w:fill="EBF1DE" w:themeFill="accent3" w:themeFillTint="32"/>
                    <w:rPr>
                      <w:rFonts w:ascii="宋体" w:hAnsi="宋体"/>
                    </w:rPr>
                  </w:pPr>
                  <w:r>
                    <w:rPr>
                      <w:rFonts w:hint="default" w:ascii="Times New Roman" w:hAnsi="Times New Roman" w:cs="Times New Roman"/>
                      <w:sz w:val="18"/>
                      <w:szCs w:val="18"/>
                      <w:lang w:val="en-US" w:eastAsia="zh-CN"/>
                    </w:rPr>
                    <w:t>消防设备按照位置明显，易于使用。在特殊地区严禁烟火和张贴防火标示。定期对安防设备进行检测和演练。加强防火意识和防火设备使用培训</w:t>
                  </w:r>
                </w:p>
              </w:tc>
              <w:tc>
                <w:tcPr>
                  <w:tcW w:w="1350" w:type="dxa"/>
                  <w:shd w:val="clear" w:color="auto" w:fill="auto"/>
                  <w:vAlign w:val="center"/>
                </w:tcPr>
                <w:p>
                  <w:pPr>
                    <w:shd w:val="clear" w:color="auto" w:fill="EBF1DE" w:themeFill="accent3" w:themeFillTint="32"/>
                    <w:rPr>
                      <w:rFonts w:ascii="宋体" w:hAnsi="宋体"/>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Times New Roman" w:hAnsi="Times New Roman" w:cs="Times New Roman"/>
                      <w:sz w:val="18"/>
                      <w:szCs w:val="18"/>
                      <w:lang w:val="en-US" w:eastAsia="zh-CN"/>
                    </w:rPr>
                    <w:t>废气、噪声达标排放</w:t>
                  </w:r>
                </w:p>
              </w:tc>
              <w:tc>
                <w:tcPr>
                  <w:tcW w:w="3136" w:type="dxa"/>
                  <w:shd w:val="clear" w:color="auto" w:fill="auto"/>
                  <w:vAlign w:val="center"/>
                </w:tcPr>
                <w:p>
                  <w:pPr>
                    <w:shd w:val="clear" w:color="auto" w:fill="EBF1DE" w:themeFill="accent3" w:themeFillTint="32"/>
                    <w:rPr>
                      <w:rFonts w:ascii="宋体" w:hAnsi="宋体"/>
                    </w:rPr>
                  </w:pPr>
                  <w:r>
                    <w:rPr>
                      <w:rFonts w:hint="default" w:ascii="Times New Roman" w:hAnsi="Times New Roman" w:cs="Times New Roman"/>
                      <w:sz w:val="18"/>
                      <w:szCs w:val="18"/>
                      <w:lang w:val="en-US" w:eastAsia="zh-CN"/>
                    </w:rPr>
                    <w:t>对</w:t>
                  </w:r>
                  <w:r>
                    <w:rPr>
                      <w:rFonts w:hint="eastAsia" w:ascii="Times New Roman" w:hAnsi="Times New Roman" w:cs="Times New Roman"/>
                      <w:sz w:val="18"/>
                      <w:szCs w:val="18"/>
                      <w:lang w:val="en-US" w:eastAsia="zh-CN"/>
                    </w:rPr>
                    <w:t>环保</w:t>
                  </w:r>
                  <w:r>
                    <w:rPr>
                      <w:rFonts w:hint="default" w:ascii="Times New Roman" w:hAnsi="Times New Roman" w:cs="Times New Roman"/>
                      <w:sz w:val="18"/>
                      <w:szCs w:val="18"/>
                      <w:lang w:val="en-US" w:eastAsia="zh-CN"/>
                    </w:rPr>
                    <w:t>设备进行全面检修，确保性能良好</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rPr>
                <w:rFonts w:hint="eastAsia" w:eastAsia="宋体"/>
                <w:lang w:eastAsia="zh-CN"/>
              </w:rPr>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val="de-DE"/>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val="de-DE"/>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400</w:t>
            </w:r>
            <w:r>
              <w:rPr>
                <w:rFonts w:hint="eastAsia"/>
              </w:rPr>
              <w:t>平方米；生产车间个；库房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灭火器</w:t>
            </w:r>
            <w:r>
              <w:rPr>
                <w:rFonts w:hint="eastAsia"/>
                <w:u w:val="single"/>
              </w:rPr>
              <w:t>（列举2~4种）</w:t>
            </w:r>
          </w:p>
          <w:p>
            <w:pPr>
              <w:shd w:val="clear" w:color="auto" w:fill="EBF1DE" w:themeFill="accent3" w:themeFillTint="32"/>
            </w:pPr>
            <w:r>
              <w:rPr>
                <w:rFonts w:hint="eastAsia"/>
                <w:lang w:val="de-DE"/>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lang w:val="en-US"/>
              </w:rPr>
            </w:pPr>
            <w:r>
              <w:rPr>
                <w:rFonts w:hint="eastAsia"/>
              </w:rPr>
              <w:t>特种作业人员：</w:t>
            </w:r>
            <w:r>
              <w:rPr>
                <w:rFonts w:hint="eastAsia"/>
                <w:lang w:val="en-US" w:eastAsia="zh-CN"/>
              </w:rPr>
              <w:t>无</w:t>
            </w:r>
            <w:r>
              <w:rPr>
                <w:rFonts w:hint="eastAsia" w:ascii="Wingdings" w:hAnsi="Wingdings"/>
                <w:lang w:val="en-US" w:eastAsia="zh-CN"/>
              </w:rPr>
              <w:t xml:space="preserve"> </w:t>
            </w:r>
          </w:p>
          <w:p>
            <w:pPr>
              <w:shd w:val="clear" w:color="auto" w:fill="EBF1DE" w:themeFill="accent3" w:themeFillTint="32"/>
            </w:pPr>
            <w:r>
              <w:rPr>
                <w:rFonts w:hint="eastAsia"/>
              </w:rPr>
              <w:t>特种设备作业人员：</w:t>
            </w:r>
            <w:r>
              <w:rPr>
                <w:rFonts w:hint="eastAsia"/>
                <w:lang w:val="en-US" w:eastAsia="zh-CN"/>
              </w:rPr>
              <w:t>无</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培训</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val="de-DE"/>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rPr>
                    <w:t>运行控制；应急准备与响应</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lang w:val="en-US" w:eastAsia="zh-CN"/>
                    </w:rPr>
                    <w:t>废气排放</w:t>
                  </w:r>
                </w:p>
              </w:tc>
              <w:tc>
                <w:tcPr>
                  <w:tcW w:w="3665" w:type="dxa"/>
                  <w:vAlign w:val="top"/>
                </w:tcPr>
                <w:p>
                  <w:pPr>
                    <w:shd w:val="clear" w:color="auto" w:fill="EBF1DE" w:themeFill="accent3" w:themeFillTint="32"/>
                    <w:jc w:val="left"/>
                  </w:pPr>
                  <w:r>
                    <w:rPr>
                      <w:rFonts w:hint="eastAsia"/>
                      <w:lang w:val="en-US" w:eastAsia="zh-CN"/>
                    </w:rPr>
                    <w:t>安装环保设施，定期保养，</w:t>
                  </w: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lang w:val="en-US" w:eastAsia="zh-CN"/>
                    </w:rPr>
                    <w:t>噪声排放</w:t>
                  </w:r>
                </w:p>
              </w:tc>
              <w:tc>
                <w:tcPr>
                  <w:tcW w:w="3665" w:type="dxa"/>
                  <w:vAlign w:val="top"/>
                </w:tcPr>
                <w:p>
                  <w:pPr>
                    <w:shd w:val="clear" w:color="auto" w:fill="EBF1DE" w:themeFill="accent3" w:themeFillTint="32"/>
                    <w:jc w:val="left"/>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val="en-US" w:eastAsia="zh-CN"/>
              </w:rPr>
              <w:t xml:space="preserve"> 无</w:t>
            </w:r>
            <w:r>
              <w:rPr>
                <w:rFonts w:hint="eastAsia"/>
              </w:rPr>
              <w:t>：</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14</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shd w:val="clear" w:color="auto" w:fill="EBF1DE" w:themeFill="accent3" w:themeFillTint="32"/>
              <w:rPr>
                <w:lang w:val="en-US"/>
              </w:rPr>
            </w:pPr>
            <w:r>
              <w:rPr>
                <w:rFonts w:hint="eastAsia" w:ascii="Wingdings" w:hAnsi="Wingdings"/>
              </w:rPr>
              <w:t>¨</w:t>
            </w:r>
            <w:r>
              <w:rPr>
                <w:rFonts w:hint="eastAsia"/>
              </w:rPr>
              <w:t>特殊情况（法规变化）：</w:t>
            </w:r>
            <w:r>
              <w:rPr>
                <w:rFonts w:hint="eastAsia"/>
                <w:lang w:val="en-US" w:eastAsia="zh-CN"/>
              </w:rPr>
              <w:t xml:space="preserve"> 无</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val="en-US" w:eastAsia="zh-CN"/>
              </w:rPr>
              <w:t xml:space="preserve"> 不适用</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15-16</w:t>
            </w:r>
            <w:r>
              <w:rPr>
                <w:rFonts w:hint="eastAsia"/>
              </w:rPr>
              <w:t>日实施了环境管理体系内部审核，对环境管理体系的符合性和有效性进行了审核。内审发现的项不符合在本次审核前已完成整改。在公司内完成的这些审核是可信的。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bookmarkStart w:id="34" w:name="_GoBack"/>
      <w:bookmarkEnd w:id="34"/>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A2C5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paragraph" w:customStyle="1" w:styleId="13">
    <w:name w:val="List Paragraph"/>
    <w:basedOn w:val="1"/>
    <w:qFormat/>
    <w:uiPriority w:val="34"/>
    <w:pPr>
      <w:ind w:firstLine="420" w:firstLineChars="200"/>
    </w:pPr>
  </w:style>
  <w:style w:type="character" w:customStyle="1" w:styleId="14">
    <w:name w:val="页眉 Char1"/>
    <w:basedOn w:val="8"/>
    <w:link w:val="5"/>
    <w:qFormat/>
    <w:uiPriority w:val="99"/>
    <w:rPr>
      <w:rFonts w:ascii="Times New Roman" w:hAnsi="Times New Roman" w:eastAsia="宋体" w:cs="Times New Roman"/>
      <w:sz w:val="18"/>
      <w:szCs w:val="18"/>
    </w:rPr>
  </w:style>
  <w:style w:type="character" w:customStyle="1" w:styleId="15">
    <w:name w:val="页脚 Char"/>
    <w:basedOn w:val="8"/>
    <w:link w:val="4"/>
    <w:qFormat/>
    <w:uiPriority w:val="99"/>
    <w:rPr>
      <w:rFonts w:ascii="Times New Roman" w:hAnsi="Times New Roman" w:eastAsia="宋体" w:cs="Times New Roman"/>
      <w:sz w:val="18"/>
      <w:szCs w:val="18"/>
    </w:rPr>
  </w:style>
  <w:style w:type="character" w:customStyle="1" w:styleId="16">
    <w:name w:val="批注框文本 Char"/>
    <w:basedOn w:val="8"/>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2022-04-13T23:34:55Z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