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rFonts w:hint="eastAsia"/>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rFonts w:hint="eastAsia"/>
                <w:b/>
                <w:sz w:val="22"/>
                <w:szCs w:val="22"/>
              </w:rPr>
            </w:pPr>
            <w:bookmarkStart w:id="2" w:name="组织名称"/>
            <w:r>
              <w:rPr>
                <w:rFonts w:hint="eastAsia"/>
                <w:b/>
                <w:sz w:val="22"/>
                <w:szCs w:val="22"/>
              </w:rPr>
              <w:t>北京企航云晖信息技术有限公司</w:t>
            </w:r>
            <w:bookmarkEnd w:id="2"/>
          </w:p>
        </w:tc>
        <w:tc>
          <w:tcPr>
            <w:tcW w:w="1719" w:type="dxa"/>
            <w:gridSpan w:val="2"/>
            <w:tcBorders>
              <w:top w:val="single" w:color="auto" w:sz="8" w:space="0"/>
            </w:tcBorders>
            <w:vAlign w:val="center"/>
          </w:tcPr>
          <w:p>
            <w:pPr>
              <w:snapToGrid w:val="0"/>
              <w:spacing w:line="280" w:lineRule="exact"/>
              <w:jc w:val="center"/>
              <w:rPr>
                <w:rFonts w:hint="eastAsia"/>
                <w:b/>
                <w:sz w:val="22"/>
                <w:szCs w:val="22"/>
              </w:rPr>
            </w:pPr>
            <w:r>
              <w:rPr>
                <w:rFonts w:hint="eastAsia"/>
                <w:b/>
                <w:sz w:val="22"/>
                <w:szCs w:val="22"/>
              </w:rPr>
              <w:t>专业小类/</w:t>
            </w:r>
          </w:p>
          <w:p>
            <w:pPr>
              <w:snapToGrid w:val="0"/>
              <w:spacing w:line="280" w:lineRule="exact"/>
              <w:jc w:val="center"/>
              <w:rPr>
                <w:rFonts w:hint="eastAsia"/>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jc w:val="center"/>
              <w:rPr>
                <w:rFonts w:hint="eastAsia"/>
                <w:b/>
                <w:sz w:val="22"/>
                <w:szCs w:val="22"/>
              </w:rPr>
            </w:pPr>
            <w:r>
              <w:rPr>
                <w:rFonts w:hint="eastAsia"/>
                <w:b/>
                <w:sz w:val="22"/>
                <w:szCs w:val="22"/>
              </w:rPr>
              <w:t>Q:19.05.01,33.02.01,33.02.02,34.06.00</w:t>
            </w:r>
          </w:p>
          <w:p>
            <w:pPr>
              <w:snapToGrid w:val="0"/>
              <w:spacing w:line="280" w:lineRule="exact"/>
              <w:jc w:val="center"/>
              <w:rPr>
                <w:rFonts w:hint="eastAsia"/>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rFonts w:hint="eastAsia"/>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default"/>
                <w:b/>
                <w:sz w:val="22"/>
                <w:szCs w:val="22"/>
                <w:lang w:val="en-US" w:eastAsia="zh-CN"/>
              </w:rPr>
            </w:pPr>
            <w:r>
              <w:rPr>
                <w:rFonts w:hint="eastAsia"/>
                <w:b/>
                <w:sz w:val="22"/>
                <w:szCs w:val="22"/>
                <w:lang w:val="en-US" w:eastAsia="zh-CN"/>
              </w:rPr>
              <w:t>李京田</w:t>
            </w:r>
          </w:p>
        </w:tc>
        <w:tc>
          <w:tcPr>
            <w:tcW w:w="1289" w:type="dxa"/>
            <w:vAlign w:val="center"/>
          </w:tcPr>
          <w:p>
            <w:pPr>
              <w:snapToGrid w:val="0"/>
              <w:spacing w:line="280" w:lineRule="exact"/>
              <w:jc w:val="center"/>
              <w:rPr>
                <w:rFonts w:hint="eastAsia"/>
                <w:b/>
                <w:sz w:val="22"/>
                <w:szCs w:val="22"/>
              </w:rPr>
            </w:pPr>
            <w:r>
              <w:rPr>
                <w:rFonts w:hint="eastAsia"/>
                <w:b/>
                <w:sz w:val="22"/>
                <w:szCs w:val="22"/>
              </w:rPr>
              <w:t>专业</w:t>
            </w:r>
          </w:p>
        </w:tc>
        <w:tc>
          <w:tcPr>
            <w:tcW w:w="1505" w:type="dxa"/>
            <w:vAlign w:val="center"/>
          </w:tcPr>
          <w:p>
            <w:pPr>
              <w:snapToGrid w:val="0"/>
              <w:spacing w:line="280" w:lineRule="exact"/>
              <w:jc w:val="center"/>
              <w:rPr>
                <w:rFonts w:hint="eastAsia"/>
                <w:b/>
                <w:sz w:val="22"/>
                <w:szCs w:val="22"/>
              </w:rPr>
            </w:pPr>
            <w:r>
              <w:rPr>
                <w:rFonts w:hint="eastAsia"/>
                <w:b/>
                <w:sz w:val="22"/>
                <w:szCs w:val="22"/>
              </w:rPr>
              <w:t>Q:19.05.01,33.02.01,33.02.02,34.06.00</w:t>
            </w:r>
          </w:p>
          <w:p>
            <w:pPr>
              <w:snapToGrid w:val="0"/>
              <w:spacing w:line="280" w:lineRule="exact"/>
              <w:jc w:val="center"/>
              <w:rPr>
                <w:rFonts w:hint="eastAsia"/>
                <w:b/>
                <w:sz w:val="22"/>
                <w:szCs w:val="22"/>
              </w:rPr>
            </w:pPr>
          </w:p>
        </w:tc>
        <w:tc>
          <w:tcPr>
            <w:tcW w:w="1719" w:type="dxa"/>
            <w:gridSpan w:val="2"/>
            <w:vAlign w:val="center"/>
          </w:tcPr>
          <w:p>
            <w:pPr>
              <w:snapToGrid w:val="0"/>
              <w:spacing w:line="280" w:lineRule="exact"/>
              <w:jc w:val="center"/>
              <w:rPr>
                <w:rFonts w:hint="eastAsia"/>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b/>
                <w:sz w:val="22"/>
                <w:szCs w:val="22"/>
                <w:lang w:val="en-US" w:eastAsia="zh-CN"/>
              </w:rPr>
            </w:pPr>
            <w:r>
              <w:rPr>
                <w:rFonts w:hint="eastAsia"/>
                <w:b/>
                <w:sz w:val="22"/>
                <w:szCs w:val="22"/>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414"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夏爱俭</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360" w:lineRule="exact"/>
              <w:jc w:val="center"/>
              <w:rPr>
                <w:rFonts w:hint="eastAsia"/>
                <w:b/>
                <w:sz w:val="20"/>
                <w:lang w:val="en-US" w:eastAsia="zh-CN"/>
              </w:rPr>
            </w:pPr>
            <w:r>
              <w:rPr>
                <w:rFonts w:hint="eastAsia"/>
                <w:b/>
                <w:sz w:val="20"/>
                <w:lang w:val="en-US" w:eastAsia="zh-CN"/>
              </w:rPr>
              <w:t>生产工艺/</w:t>
            </w:r>
          </w:p>
          <w:p>
            <w:pPr>
              <w:snapToGrid w:val="0"/>
              <w:spacing w:line="360" w:lineRule="exact"/>
              <w:jc w:val="center"/>
              <w:rPr>
                <w:rFonts w:hint="eastAsia"/>
                <w:b/>
                <w:sz w:val="20"/>
                <w:lang w:val="en-US" w:eastAsia="zh-CN"/>
              </w:rPr>
            </w:pPr>
            <w:r>
              <w:rPr>
                <w:rFonts w:hint="eastAsia"/>
                <w:b/>
                <w:sz w:val="20"/>
                <w:lang w:val="en-US" w:eastAsia="zh-CN"/>
              </w:rPr>
              <w:t>服务过程</w:t>
            </w:r>
          </w:p>
        </w:tc>
        <w:tc>
          <w:tcPr>
            <w:tcW w:w="8424" w:type="dxa"/>
            <w:gridSpan w:val="7"/>
            <w:vAlign w:val="center"/>
          </w:tcPr>
          <w:p>
            <w:pPr>
              <w:snapToGrid w:val="0"/>
              <w:spacing w:line="360" w:lineRule="exact"/>
              <w:jc w:val="left"/>
              <w:rPr>
                <w:rFonts w:hint="eastAsia"/>
                <w:b/>
                <w:sz w:val="20"/>
                <w:lang w:val="en-US" w:eastAsia="zh-CN"/>
              </w:rPr>
            </w:pPr>
            <w:r>
              <w:rPr>
                <w:rFonts w:hint="eastAsia"/>
                <w:b/>
                <w:sz w:val="20"/>
                <w:lang w:val="en-US" w:eastAsia="zh-CN"/>
              </w:rPr>
              <w:t>软件的开发流程：项目立项-计划-需求分析-设计开发-代码编写-系统测试-试运行-验收</w:t>
            </w:r>
          </w:p>
          <w:p>
            <w:pPr>
              <w:snapToGrid w:val="0"/>
              <w:spacing w:line="360" w:lineRule="exact"/>
              <w:jc w:val="left"/>
              <w:rPr>
                <w:rFonts w:hint="eastAsia"/>
                <w:b/>
                <w:sz w:val="20"/>
                <w:lang w:val="en-US" w:eastAsia="zh-CN"/>
              </w:rPr>
            </w:pPr>
            <w:r>
              <w:rPr>
                <w:rFonts w:hint="eastAsia"/>
                <w:b/>
                <w:sz w:val="20"/>
                <w:lang w:val="en-US" w:eastAsia="zh-CN"/>
              </w:rPr>
              <w:t>计算机信息系统集成流程：勘察现场-技术方案-施工准备-采购调货-进场施工（线路敷设、设备安装、软件安装）-内部测试-试运行-客户终验；</w:t>
            </w:r>
          </w:p>
          <w:p>
            <w:pPr>
              <w:snapToGrid w:val="0"/>
              <w:spacing w:line="360" w:lineRule="exact"/>
              <w:jc w:val="left"/>
              <w:rPr>
                <w:rFonts w:hint="eastAsia"/>
                <w:b/>
                <w:sz w:val="20"/>
                <w:lang w:val="en-US" w:eastAsia="zh-CN"/>
              </w:rPr>
            </w:pPr>
            <w:r>
              <w:rPr>
                <w:rFonts w:hint="eastAsia" w:ascii="Times New Roman" w:hAnsi="Times New Roman" w:eastAsia="宋体" w:cs="Times New Roman"/>
                <w:b/>
                <w:sz w:val="20"/>
                <w:lang w:val="en-US" w:eastAsia="zh-CN"/>
              </w:rPr>
              <w:t>技术服务流程；客户需求—方案制定—运维—运维报告—客户确认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default" w:eastAsia="宋体"/>
                <w:b/>
                <w:sz w:val="20"/>
                <w:lang w:val="en-US" w:eastAsia="zh-CN"/>
              </w:rPr>
            </w:pPr>
            <w:r>
              <w:rPr>
                <w:rFonts w:hint="eastAsia"/>
                <w:b/>
                <w:sz w:val="20"/>
                <w:lang w:val="en-US" w:eastAsia="zh-CN"/>
              </w:rPr>
              <w:t>线路敷设为关键过程，控制方式为：人员资格培训、设备、作业指导书、施工流程、技术图纸、技术交底、操作规程等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GB50311-2016《综合布线工程设计规范》GB50312-2016《综合布线工程验收规范》、《中华人民共和国计算机信息系统安全保护条例》（国务院147号令）《GB8566-88  计算机软件开发规范 》（公信安[2007]861号）《关于推动信息安全等级保护测评体系建设和开展等级测评工作的通知》（公信安[2010]303号）《中华人民共和国网络安全法》GB17859-1999 计算机信息系统安全保护等级划分准则</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default" w:eastAsia="宋体"/>
                <w:b/>
                <w:sz w:val="20"/>
                <w:lang w:val="en-US" w:eastAsia="zh-CN"/>
              </w:rPr>
            </w:pPr>
            <w:r>
              <w:rPr>
                <w:rFonts w:hint="eastAsia"/>
                <w:b/>
                <w:sz w:val="20"/>
                <w:lang w:val="en-US" w:eastAsia="zh-CN"/>
              </w:rPr>
              <w:t>按照合同进行验收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59264"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0288"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2022.4.2</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b/>
          <w:sz w:val="22"/>
          <w:szCs w:val="22"/>
        </w:rPr>
        <w:t xml:space="preserve">EMS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hint="eastAsia"/>
                <w:b/>
                <w:sz w:val="22"/>
                <w:szCs w:val="22"/>
              </w:rPr>
              <w:t>北京企航云晖信息技术有限公司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rFonts w:ascii="宋体" w:hAnsi="宋体" w:cs="宋体"/>
                <w:color w:val="000000"/>
                <w:kern w:val="0"/>
                <w:szCs w:val="21"/>
              </w:rPr>
              <w:t>E:19.05.01B,33.02.01,33.02.02,34.06.00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ascii="宋体" w:hAnsi="宋体" w:cs="宋体"/>
                <w:color w:val="000000"/>
                <w:kern w:val="0"/>
                <w:szCs w:val="21"/>
              </w:rPr>
              <w:t>E:19.05.01B,33.02.01,33.02.02,34.06.00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414"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夏爱俭</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360" w:lineRule="exact"/>
              <w:jc w:val="left"/>
              <w:rPr>
                <w:rFonts w:hint="eastAsia"/>
                <w:b/>
                <w:sz w:val="20"/>
                <w:lang w:val="en-US" w:eastAsia="zh-CN"/>
              </w:rPr>
            </w:pPr>
            <w:r>
              <w:rPr>
                <w:rFonts w:hint="eastAsia"/>
                <w:b/>
                <w:sz w:val="20"/>
                <w:lang w:val="en-US" w:eastAsia="zh-CN"/>
              </w:rPr>
              <w:t>软件的开发流程：项目立项-计划-需求分析-设计开发-代码编写-系统测试-试运行-验收</w:t>
            </w:r>
          </w:p>
          <w:p>
            <w:pPr>
              <w:snapToGrid w:val="0"/>
              <w:spacing w:line="360" w:lineRule="exact"/>
              <w:jc w:val="left"/>
              <w:rPr>
                <w:rFonts w:hint="eastAsia"/>
                <w:b/>
                <w:sz w:val="20"/>
                <w:lang w:val="en-US" w:eastAsia="zh-CN"/>
              </w:rPr>
            </w:pPr>
            <w:r>
              <w:rPr>
                <w:rFonts w:hint="eastAsia"/>
                <w:b/>
                <w:sz w:val="20"/>
                <w:lang w:val="en-US" w:eastAsia="zh-CN"/>
              </w:rPr>
              <w:t>计算机信息系统集成流程：勘察现场-技术方案-施工准备-采购调货-进场施工（线路敷设、设备安装、软件安装）-内部测试-试运行-客户终验；</w:t>
            </w:r>
          </w:p>
          <w:p>
            <w:pPr>
              <w:snapToGrid w:val="0"/>
              <w:spacing w:line="280" w:lineRule="exact"/>
              <w:rPr>
                <w:b/>
                <w:sz w:val="20"/>
              </w:rPr>
            </w:pPr>
            <w:r>
              <w:rPr>
                <w:rFonts w:hint="eastAsia" w:ascii="Times New Roman" w:hAnsi="Times New Roman" w:eastAsia="宋体" w:cs="Times New Roman"/>
                <w:b/>
                <w:sz w:val="20"/>
                <w:lang w:val="en-US" w:eastAsia="zh-CN"/>
              </w:rPr>
              <w:t>技术服务流程；客户需求—方案制定—运维—运维报告—客户确认</w:t>
            </w:r>
            <w:r>
              <w:rPr>
                <w:rFonts w:hint="eastAsia"/>
                <w:b/>
                <w:sz w:val="20"/>
              </w:rPr>
              <w:t>线路敷设为关键过程，控制方式为：人员资格培训、设备、作业指导书、施工流程、技术图纸、技术交底、操作规程等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重大环境因素：火灾，固废排放；</w:t>
            </w:r>
          </w:p>
          <w:p>
            <w:pPr>
              <w:snapToGrid w:val="0"/>
              <w:spacing w:line="280" w:lineRule="exac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rPr>
              <w:t>控制措施：集中收集外售至废品回收站；选用低噪声设备，合理布局，隔声减震，厂房隔音；设备、电路定期检修、不定期检查，提高安全意识；做好火灾预防措施。一旦发生按相关应急预案执行；制定目标、指标；设备、电路定期检修、降低跑冒滴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napToGrid w:val="0"/>
              <w:spacing w:line="280" w:lineRule="exac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大气污染物综合排放标准、污水综合排放标准、工业企业厂界噪声标准</w:t>
            </w:r>
          </w:p>
          <w:p>
            <w:pPr>
              <w:snapToGrid w:val="0"/>
              <w:spacing w:line="280" w:lineRule="exac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一般工业固体废物贮存、处置场污染控制标准、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2336"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3360"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2022.4.2</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bookmarkStart w:id="3" w:name="_GoBack"/>
      <w:bookmarkEnd w:id="3"/>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b/>
          <w:sz w:val="22"/>
          <w:szCs w:val="22"/>
        </w:rPr>
        <w:t>OHSMS</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hint="eastAsia"/>
                <w:b/>
                <w:sz w:val="22"/>
                <w:szCs w:val="22"/>
              </w:rPr>
              <w:t>北京企航云晖信息技术有限公司</w:t>
            </w:r>
          </w:p>
        </w:tc>
        <w:tc>
          <w:tcPr>
            <w:tcW w:w="1719" w:type="dxa"/>
            <w:gridSpan w:val="2"/>
            <w:tcBorders>
              <w:top w:val="single" w:color="auto" w:sz="8" w:space="0"/>
            </w:tcBorders>
            <w:vAlign w:val="center"/>
          </w:tcPr>
          <w:p>
            <w:pPr>
              <w:snapToGrid w:val="0"/>
              <w:spacing w:line="280" w:lineRule="exact"/>
              <w:jc w:val="center"/>
              <w:rPr>
                <w:rFonts w:hint="eastAsia"/>
                <w:b/>
                <w:sz w:val="22"/>
                <w:szCs w:val="22"/>
              </w:rPr>
            </w:pPr>
            <w:r>
              <w:rPr>
                <w:rFonts w:hint="eastAsia"/>
                <w:b/>
                <w:sz w:val="22"/>
                <w:szCs w:val="22"/>
              </w:rPr>
              <w:t>专业小类/</w:t>
            </w:r>
          </w:p>
          <w:p>
            <w:pPr>
              <w:snapToGrid w:val="0"/>
              <w:spacing w:line="280" w:lineRule="exact"/>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jc w:val="center"/>
              <w:rPr>
                <w:rFonts w:hint="eastAsia"/>
                <w:b/>
                <w:sz w:val="22"/>
                <w:szCs w:val="22"/>
              </w:rPr>
            </w:pPr>
            <w:r>
              <w:rPr>
                <w:rFonts w:hint="eastAsia"/>
                <w:b/>
                <w:sz w:val="22"/>
                <w:szCs w:val="22"/>
                <w:lang w:val="en-US" w:eastAsia="zh-CN"/>
              </w:rPr>
              <w:t>O</w:t>
            </w:r>
            <w:r>
              <w:rPr>
                <w:rFonts w:hint="eastAsia"/>
                <w:b/>
                <w:sz w:val="22"/>
                <w:szCs w:val="22"/>
              </w:rPr>
              <w:t>:19.05.01,33.02.01,33.02.02,34.06.00</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2"/>
                <w:szCs w:val="22"/>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rFonts w:hint="eastAsia"/>
                <w:b/>
                <w:sz w:val="22"/>
                <w:szCs w:val="22"/>
              </w:rPr>
            </w:pPr>
            <w:r>
              <w:rPr>
                <w:rFonts w:hint="eastAsia"/>
                <w:b/>
                <w:sz w:val="22"/>
                <w:szCs w:val="22"/>
                <w:lang w:val="en-US" w:eastAsia="zh-CN"/>
              </w:rPr>
              <w:t>O</w:t>
            </w:r>
            <w:r>
              <w:rPr>
                <w:rFonts w:hint="eastAsia"/>
                <w:b/>
                <w:sz w:val="22"/>
                <w:szCs w:val="22"/>
              </w:rPr>
              <w:t>:19.05.01,33.02.01,33.02.02,34.06.00</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2"/>
                <w:szCs w:val="22"/>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val="en-US" w:eastAsia="zh-CN"/>
              </w:rPr>
              <w:t>李雅静</w:t>
            </w:r>
          </w:p>
        </w:tc>
        <w:tc>
          <w:tcPr>
            <w:tcW w:w="1414" w:type="dxa"/>
            <w:vAlign w:val="center"/>
          </w:tcPr>
          <w:p>
            <w:pPr>
              <w:snapToGrid w:val="0"/>
              <w:spacing w:line="360" w:lineRule="exact"/>
              <w:jc w:val="center"/>
              <w:rPr>
                <w:b/>
                <w:sz w:val="20"/>
              </w:rPr>
            </w:pPr>
            <w:r>
              <w:rPr>
                <w:rFonts w:hint="eastAsia"/>
                <w:b/>
                <w:sz w:val="20"/>
                <w:lang w:val="en-US" w:eastAsia="zh-CN"/>
              </w:rPr>
              <w:t>夏爱俭</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360" w:lineRule="exact"/>
              <w:jc w:val="left"/>
              <w:rPr>
                <w:rFonts w:hint="eastAsia"/>
                <w:b/>
                <w:sz w:val="20"/>
                <w:lang w:val="en-US" w:eastAsia="zh-CN"/>
              </w:rPr>
            </w:pPr>
            <w:r>
              <w:rPr>
                <w:rFonts w:hint="eastAsia"/>
                <w:b/>
                <w:sz w:val="20"/>
                <w:lang w:val="en-US" w:eastAsia="zh-CN"/>
              </w:rPr>
              <w:t>软件的开发流程：项目立项-计划-需求分析-设计开发-代码编写-系统测试-试运行-验收</w:t>
            </w:r>
          </w:p>
          <w:p>
            <w:pPr>
              <w:snapToGrid w:val="0"/>
              <w:spacing w:line="360" w:lineRule="exact"/>
              <w:jc w:val="left"/>
              <w:rPr>
                <w:rFonts w:hint="eastAsia"/>
                <w:b/>
                <w:sz w:val="20"/>
                <w:lang w:val="en-US" w:eastAsia="zh-CN"/>
              </w:rPr>
            </w:pPr>
            <w:r>
              <w:rPr>
                <w:rFonts w:hint="eastAsia"/>
                <w:b/>
                <w:sz w:val="20"/>
                <w:lang w:val="en-US" w:eastAsia="zh-CN"/>
              </w:rPr>
              <w:t>计算机信息系统集成流程：勘察现场-技术方案-施工准备-采购调货-进场施工（线路敷设、设备安装、软件安装）-内部测试-试运行-客户终验；</w:t>
            </w:r>
          </w:p>
          <w:p>
            <w:pPr>
              <w:snapToGrid w:val="0"/>
              <w:spacing w:line="280" w:lineRule="exact"/>
              <w:rPr>
                <w:rFonts w:hint="eastAsia"/>
                <w:b/>
                <w:sz w:val="20"/>
              </w:rPr>
            </w:pPr>
            <w:r>
              <w:rPr>
                <w:rFonts w:hint="eastAsia" w:ascii="Times New Roman" w:hAnsi="Times New Roman" w:eastAsia="宋体" w:cs="Times New Roman"/>
                <w:b/>
                <w:sz w:val="20"/>
                <w:lang w:val="en-US" w:eastAsia="zh-CN"/>
              </w:rPr>
              <w:t>技术服务流程；客户需求—方案制定—运维—运维报告—客户确认</w:t>
            </w:r>
            <w:r>
              <w:rPr>
                <w:rFonts w:hint="eastAsia"/>
                <w:b/>
                <w:sz w:val="20"/>
              </w:rPr>
              <w:t>；</w:t>
            </w:r>
          </w:p>
          <w:p>
            <w:pPr>
              <w:snapToGrid w:val="0"/>
              <w:spacing w:line="280" w:lineRule="exact"/>
              <w:rPr>
                <w:b/>
                <w:sz w:val="20"/>
              </w:rPr>
            </w:pPr>
            <w:r>
              <w:rPr>
                <w:rFonts w:hint="eastAsia"/>
                <w:b/>
                <w:sz w:val="20"/>
              </w:rPr>
              <w:t>线路敷设为关键过程，控制方式为：人员资格培训、设备、作业指导书、施工流程、技术图纸、技术交底、操作规程等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center"/>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不可接受风险和危险源及控制措施</w:t>
            </w:r>
          </w:p>
        </w:tc>
        <w:tc>
          <w:tcPr>
            <w:tcW w:w="8424" w:type="dxa"/>
            <w:gridSpan w:val="7"/>
            <w:vAlign w:val="center"/>
          </w:tcPr>
          <w:p>
            <w:pPr>
              <w:snapToGrid w:val="0"/>
              <w:spacing w:line="280" w:lineRule="exact"/>
              <w:jc w:val="center"/>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不可接受风险：火灾，触电、噪声伤害；</w:t>
            </w:r>
          </w:p>
          <w:p>
            <w:pPr>
              <w:snapToGrid w:val="0"/>
              <w:spacing w:line="280" w:lineRule="exact"/>
              <w:jc w:val="center"/>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控制措施：选用低噪声设备，合理布局，隔声减震；设备、电路定期检修、不定期检查，提高安全意识；做好火灾预防措施。一旦发生按相关应急预案执行；加强个体防护。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center"/>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相关职业健康安全法律法规的要求及产品标准</w:t>
            </w:r>
          </w:p>
        </w:tc>
        <w:tc>
          <w:tcPr>
            <w:tcW w:w="8424" w:type="dxa"/>
            <w:gridSpan w:val="7"/>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"法律/中华人民共和国劳动法.DOC"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中华人民共和国劳动法</w:t>
            </w:r>
            <w:r>
              <w:rPr>
                <w:rFonts w:hint="eastAsia" w:ascii="Times New Roman" w:hAnsi="Times New Roman" w:eastAsia="宋体" w:cs="Times New Roman"/>
                <w:b/>
                <w:sz w:val="20"/>
                <w:lang w:val="en-US" w:eastAsia="zh-CN"/>
              </w:rPr>
              <w:fldChar w:fldCharType="end"/>
            </w:r>
            <w:r>
              <w:rPr>
                <w:rFonts w:hint="eastAsia" w:ascii="Times New Roman" w:hAnsi="Times New Roman" w:eastAsia="宋体" w:cs="Times New Roman"/>
                <w:b/>
                <w:sz w:val="20"/>
                <w:lang w:val="en-US" w:eastAsia="zh-CN"/>
              </w:rPr>
              <w:t>、</w:t>
            </w: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"法律/中华人民共和国职业病防治法.doc"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中华人民共和国职业病防治法</w:t>
            </w:r>
            <w:r>
              <w:rPr>
                <w:rFonts w:hint="eastAsia" w:ascii="Times New Roman" w:hAnsi="Times New Roman" w:eastAsia="宋体" w:cs="Times New Roman"/>
                <w:b/>
                <w:sz w:val="20"/>
                <w:lang w:val="en-US" w:eastAsia="zh-CN"/>
              </w:rPr>
              <w:fldChar w:fldCharType="end"/>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"法律/中华人民共和国消防法.doc"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中华人民共和国消防法</w:t>
            </w:r>
            <w:r>
              <w:rPr>
                <w:rFonts w:hint="eastAsia" w:ascii="Times New Roman" w:hAnsi="Times New Roman" w:eastAsia="宋体" w:cs="Times New Roman"/>
                <w:b/>
                <w:sz w:val="20"/>
                <w:lang w:val="en-US" w:eastAsia="zh-CN"/>
              </w:rPr>
              <w:fldChar w:fldCharType="end"/>
            </w:r>
            <w:r>
              <w:rPr>
                <w:rFonts w:hint="eastAsia" w:ascii="Times New Roman" w:hAnsi="Times New Roman" w:eastAsia="宋体" w:cs="Times New Roman"/>
                <w:b/>
                <w:sz w:val="20"/>
                <w:lang w:val="en-US" w:eastAsia="zh-CN"/>
              </w:rPr>
              <w:t>、</w:t>
            </w: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"法律/中华人民共和国安全生产法.doc"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中华人民共和国安全生产法</w:t>
            </w:r>
            <w:r>
              <w:rPr>
                <w:rFonts w:hint="eastAsia" w:ascii="Times New Roman" w:hAnsi="Times New Roman" w:eastAsia="宋体" w:cs="Times New Roman"/>
                <w:b/>
                <w:sz w:val="20"/>
                <w:lang w:val="en-US" w:eastAsia="zh-CN"/>
              </w:rPr>
              <w:fldChar w:fldCharType="end"/>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"法律/中华人民共和国职业病防治法.doc"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中华人民共和国职业病防治法</w:t>
            </w:r>
            <w:r>
              <w:rPr>
                <w:rFonts w:hint="eastAsia" w:ascii="Times New Roman" w:hAnsi="Times New Roman" w:eastAsia="宋体" w:cs="Times New Roman"/>
                <w:b/>
                <w:sz w:val="20"/>
                <w:lang w:val="en-US" w:eastAsia="zh-CN"/>
              </w:rPr>
              <w:fldChar w:fldCharType="end"/>
            </w:r>
            <w:r>
              <w:rPr>
                <w:rFonts w:hint="eastAsia" w:ascii="Times New Roman" w:hAnsi="Times New Roman" w:eastAsia="宋体" w:cs="Times New Roman"/>
                <w:b/>
                <w:sz w:val="20"/>
                <w:lang w:val="en-US" w:eastAsia="zh-CN"/>
              </w:rPr>
              <w:t>、</w:t>
            </w: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"法律/中华人民共和国妇女权益保障法.DOC"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中华人民共和国妇女权益保障法</w:t>
            </w:r>
            <w:r>
              <w:rPr>
                <w:rFonts w:hint="eastAsia" w:ascii="Times New Roman" w:hAnsi="Times New Roman" w:eastAsia="宋体" w:cs="Times New Roman"/>
                <w:b/>
                <w:sz w:val="20"/>
                <w:lang w:val="en-US" w:eastAsia="zh-CN"/>
              </w:rPr>
              <w:fldChar w:fldCharType="end"/>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"法律/中华人民共和国未成年人保护法.DOC"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中华人民共和国未成年人保护法</w:t>
            </w:r>
            <w:r>
              <w:rPr>
                <w:rFonts w:hint="eastAsia" w:ascii="Times New Roman" w:hAnsi="Times New Roman" w:eastAsia="宋体" w:cs="Times New Roman"/>
                <w:b/>
                <w:sz w:val="20"/>
                <w:lang w:val="en-US" w:eastAsia="zh-CN"/>
              </w:rPr>
              <w:fldChar w:fldCharType="end"/>
            </w:r>
            <w:r>
              <w:rPr>
                <w:rFonts w:hint="eastAsia" w:ascii="Times New Roman" w:hAnsi="Times New Roman" w:eastAsia="宋体" w:cs="Times New Roman"/>
                <w:b/>
                <w:sz w:val="20"/>
                <w:lang w:val="en-US" w:eastAsia="zh-CN"/>
              </w:rPr>
              <w:t>、</w:t>
            </w: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"法律/中华人民共和国突发事件应对法.doc"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中华人民共和国突发事件应对法</w:t>
            </w:r>
            <w:r>
              <w:rPr>
                <w:rFonts w:hint="eastAsia" w:ascii="Times New Roman" w:hAnsi="Times New Roman" w:eastAsia="宋体" w:cs="Times New Roman"/>
                <w:b/>
                <w:sz w:val="20"/>
                <w:lang w:val="en-US" w:eastAsia="zh-CN"/>
              </w:rPr>
              <w:fldChar w:fldCharType="end"/>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fldChar w:fldCharType="begin"/>
            </w:r>
            <w:r>
              <w:rPr>
                <w:rFonts w:hint="eastAsia" w:ascii="Times New Roman" w:hAnsi="Times New Roman" w:eastAsia="宋体" w:cs="Times New Roman"/>
                <w:b/>
                <w:sz w:val="20"/>
                <w:lang w:val="en-US" w:eastAsia="zh-CN"/>
              </w:rPr>
              <w:instrText xml:space="preserve"> HYPERLINK "法律/中华人民共和国传染病防治法.doc" </w:instrText>
            </w:r>
            <w:r>
              <w:rPr>
                <w:rFonts w:hint="eastAsia" w:ascii="Times New Roman" w:hAnsi="Times New Roman" w:eastAsia="宋体" w:cs="Times New Roman"/>
                <w:b/>
                <w:sz w:val="20"/>
                <w:lang w:val="en-US" w:eastAsia="zh-CN"/>
              </w:rPr>
              <w:fldChar w:fldCharType="separate"/>
            </w:r>
            <w:r>
              <w:rPr>
                <w:rFonts w:hint="eastAsia" w:ascii="Times New Roman" w:hAnsi="Times New Roman" w:eastAsia="宋体" w:cs="Times New Roman"/>
                <w:b/>
                <w:sz w:val="20"/>
                <w:lang w:val="en-US" w:eastAsia="zh-CN"/>
              </w:rPr>
              <w:t>中华人民共和国传染病防治法</w:t>
            </w:r>
            <w:r>
              <w:rPr>
                <w:rFonts w:hint="eastAsia" w:ascii="Times New Roman" w:hAnsi="Times New Roman" w:eastAsia="宋体" w:cs="Times New Roman"/>
                <w:b/>
                <w:sz w:val="20"/>
                <w:lang w:val="en-US" w:eastAsia="zh-CN"/>
              </w:rPr>
              <w:fldChar w:fldCharType="end"/>
            </w:r>
          </w:p>
          <w:p>
            <w:pPr>
              <w:snapToGrid w:val="0"/>
              <w:spacing w:line="280" w:lineRule="exact"/>
              <w:jc w:val="left"/>
              <w:rPr>
                <w:rFonts w:hint="eastAsia" w:ascii="Times New Roman" w:hAnsi="Times New Roman" w:eastAsia="宋体" w:cs="Times New Roman"/>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4384"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5408"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2022.4.2</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945" w:firstLineChars="450"/>
      <w:jc w:val="left"/>
      <w:rPr>
        <w:rStyle w:val="12"/>
        <w:rFonts w:hint="default"/>
      </w:rPr>
    </w:pPr>
    <w:r>
      <w:rPr>
        <w:rStyle w:val="12"/>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2"/>
        <w:rFonts w:hint="default"/>
        <w:w w:val="90"/>
      </w:rPr>
      <w:t>Beijing International Standard united Certification Co.,Ltd.</w:t>
    </w:r>
  </w:p>
  <w:p>
    <w:pPr>
      <w:pStyle w:val="2"/>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000000"/>
    <w:rsid w:val="30B80C06"/>
    <w:rsid w:val="5C80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0"/>
    <w:pPr>
      <w:adjustRightInd w:val="0"/>
      <w:snapToGrid w:val="0"/>
      <w:spacing w:line="440" w:lineRule="atLeast"/>
    </w:pPr>
    <w:rPr>
      <w:snapToGrid w:val="0"/>
      <w:kern w:val="0"/>
      <w:sz w:val="24"/>
    </w:rPr>
  </w:style>
  <w:style w:type="paragraph" w:styleId="4">
    <w:name w:val="Subtitle"/>
    <w:basedOn w:val="1"/>
    <w:next w:val="1"/>
    <w:qFormat/>
    <w:locked/>
    <w:uiPriority w:val="0"/>
    <w:pPr>
      <w:spacing w:before="240" w:after="60" w:line="312" w:lineRule="auto"/>
      <w:jc w:val="center"/>
      <w:outlineLvl w:val="1"/>
    </w:pPr>
    <w:rPr>
      <w:rFonts w:ascii="Arial" w:hAnsi="Arial" w:cs="Arial"/>
      <w:b/>
      <w:bCs/>
      <w:kern w:val="28"/>
      <w:sz w:val="32"/>
      <w:szCs w:val="32"/>
    </w:rPr>
  </w:style>
  <w:style w:type="paragraph" w:styleId="5">
    <w:name w:val="Balloon Text"/>
    <w:basedOn w:val="1"/>
    <w:link w:val="11"/>
    <w:semiHidden/>
    <w:unhideWhenUsed/>
    <w:qFormat/>
    <w:uiPriority w:val="99"/>
    <w:rPr>
      <w:sz w:val="18"/>
      <w:szCs w:val="18"/>
    </w:rPr>
  </w:style>
  <w:style w:type="paragraph" w:styleId="6">
    <w:name w:val="footer"/>
    <w:basedOn w:val="1"/>
    <w:link w:val="9"/>
    <w:qFormat/>
    <w:uiPriority w:val="99"/>
    <w:pPr>
      <w:tabs>
        <w:tab w:val="center" w:pos="4153"/>
        <w:tab w:val="right" w:pos="8306"/>
      </w:tabs>
      <w:snapToGrid w:val="0"/>
      <w:jc w:val="left"/>
    </w:pPr>
    <w:rPr>
      <w:sz w:val="18"/>
      <w:szCs w:val="18"/>
    </w:rPr>
  </w:style>
  <w:style w:type="character" w:customStyle="1" w:styleId="9">
    <w:name w:val="页脚 Char"/>
    <w:link w:val="6"/>
    <w:qFormat/>
    <w:locked/>
    <w:uiPriority w:val="99"/>
    <w:rPr>
      <w:rFonts w:ascii="Times New Roman" w:hAnsi="Times New Roman" w:eastAsia="宋体" w:cs="Times New Roman"/>
      <w:sz w:val="18"/>
      <w:szCs w:val="18"/>
    </w:rPr>
  </w:style>
  <w:style w:type="character" w:customStyle="1" w:styleId="10">
    <w:name w:val="页眉 Char"/>
    <w:link w:val="2"/>
    <w:qFormat/>
    <w:locked/>
    <w:uiPriority w:val="99"/>
    <w:rPr>
      <w:rFonts w:ascii="Times New Roman" w:hAnsi="Times New Roman" w:eastAsia="宋体" w:cs="Times New Roman"/>
      <w:sz w:val="18"/>
      <w:szCs w:val="18"/>
    </w:rPr>
  </w:style>
  <w:style w:type="character" w:customStyle="1" w:styleId="11">
    <w:name w:val="批注框文本 Char"/>
    <w:link w:val="5"/>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1558</Words>
  <Characters>1889</Characters>
  <Lines>2</Lines>
  <Paragraphs>1</Paragraphs>
  <TotalTime>1</TotalTime>
  <ScaleCrop>false</ScaleCrop>
  <LinksUpToDate>false</LinksUpToDate>
  <CharactersWithSpaces>1896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2022-04-04T06:57:13Z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2052-11.1.0.11365</vt:lpwstr>
  </property>
</Properties>
</file>