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75"/>
        <w:gridCol w:w="1358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重庆市巴南区华兴机械配件厂</w:t>
            </w:r>
            <w:bookmarkEnd w:id="2"/>
            <w:bookmarkStart w:id="4" w:name="_GoBack"/>
            <w:bookmarkEnd w:id="4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bookmarkStart w:id="3" w:name="专业代码"/>
            <w:r>
              <w:t>17.10.02;22.05.01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张广利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17.10.02;22.05.01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35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接收订单---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车加工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---检验---表面处理（外包）---成品入库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</w:rPr>
              <w:t>生产过程的风险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车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加工尺寸精度不合格，造成产品报废风险。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控制措施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制定操作指导书，人员技能培训，设备的维护保养等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特殊过程的控制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车加工过程为特殊过程，制定操作指导书，人员技能培训，设备的维护保养等并做好出厂检验。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rPr>
                <w:rFonts w:hint="eastAsia" w:ascii="Times New Roman" w:hAnsi="Times New Roman" w:cs="Times New Roman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</w:rPr>
              <w:t>相关法律法规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中华人民共和国合同法、中华人民共和国劳动法、中华人民共和国安全消防法、中华人民共和国产品质量法、中华人民共和国消费者权益法等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中华人民共和国安全生产法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b/>
                <w:sz w:val="20"/>
                <w:szCs w:val="22"/>
              </w:rPr>
              <w:t>产品标准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机械加工工艺装备基本术语GB/T 1008-2008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机械加工定位、夹紧符号JB/T 5061-2006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械加工工艺守则JB/T 9168-2006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技术产品文件 机械加工定位、夹紧符号表示法GB/T 24740-2009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XJ-JSB-0140/16、XJ-JSB-0140116、GB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/T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1804-m、GB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/T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5216-2004、8620H-Q/ZZ 2015、20CrMnTiH-GB5216等。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外形尺寸、强度、材质等。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highlight w:val="none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430530</wp:posOffset>
                  </wp:positionH>
                  <wp:positionV relativeFrom="paragraph">
                    <wp:posOffset>201295</wp:posOffset>
                  </wp:positionV>
                  <wp:extent cx="664210" cy="308610"/>
                  <wp:effectExtent l="0" t="0" r="8890" b="8890"/>
                  <wp:wrapSquare wrapText="bothSides"/>
                  <wp:docPr id="1" name="图片 1" descr="edef1fca07eea9d3a539f4217deb7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def1fca07eea9d3a539f4217deb71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188595</wp:posOffset>
                  </wp:positionV>
                  <wp:extent cx="906780" cy="307975"/>
                  <wp:effectExtent l="0" t="0" r="7620" b="9525"/>
                  <wp:wrapNone/>
                  <wp:docPr id="3" name="图片 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2022.10.07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2A8D16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2022-11-16T00:11:42Z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2052-11.1.0.12763</vt:lpwstr>
  </property>
</Properties>
</file>