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江苏创惠环保科技有限公司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宜兴市高塍镇红旗路9号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宜兴市高塍镇赛特路20号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徐俊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13812238336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214068108@qq.com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0429-2021-EO-2022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□现场审核 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E：环保水处理设备的销售所涉及场所的相关环境管理活动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O：环保水处理设备的销售所涉及场所的相关职业健康安全管理活动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bookmarkStart w:id="22" w:name="专业代码"/>
            <w:r>
              <w:rPr>
                <w:sz w:val="20"/>
              </w:rPr>
              <w:t>E：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29.10.07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1"/>
                <w:szCs w:val="21"/>
              </w:rPr>
              <w:t>O：</w:t>
            </w:r>
            <w:bookmarkEnd w:id="22"/>
            <w:r>
              <w:rPr>
                <w:rFonts w:hint="eastAsia"/>
                <w:sz w:val="21"/>
                <w:szCs w:val="21"/>
                <w:lang w:val="en-US" w:eastAsia="zh-CN"/>
              </w:rPr>
              <w:t>29.10.07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远程审核于2022年04月06日 下午至2022年04月07日 上午(共1.0天)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伍光华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2020-N1EMS-2219448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2020-N1OHSMS-2219448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29.10.07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13907930788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喻荣秋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2021-N1EMS-1274747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18997716637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李凤娟</w:t>
            </w:r>
            <w:bookmarkEnd w:id="30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2022.4.6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2022.4.6</w:t>
            </w:r>
          </w:p>
        </w:tc>
      </w:tr>
    </w:tbl>
    <w:p/>
    <w:p>
      <w:pPr>
        <w:snapToGrid w:val="0"/>
        <w:spacing w:beforeLines="50" w:line="400" w:lineRule="exact"/>
        <w:ind w:firstLine="3774" w:firstLineChars="1253"/>
        <w:rPr>
          <w:rFonts w:asci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10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559"/>
        <w:gridCol w:w="981"/>
        <w:gridCol w:w="5823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124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2022.4.6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14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804" w:type="dxa"/>
            <w:gridSpan w:val="2"/>
          </w:tcPr>
          <w:p>
            <w:pPr>
              <w:spacing w:line="280" w:lineRule="exact"/>
              <w:ind w:firstLine="3132" w:firstLineChars="1300"/>
              <w:jc w:val="left"/>
              <w:rPr>
                <w:rFonts w:ascii="宋体" w:cs="Arial"/>
                <w:spacing w:val="-6"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5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14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eastAsia="宋体" w:cs="Arial"/>
                <w:sz w:val="21"/>
                <w:szCs w:val="21"/>
                <w:lang w:eastAsia="zh-CN"/>
              </w:rPr>
            </w:pPr>
          </w:p>
        </w:tc>
        <w:tc>
          <w:tcPr>
            <w:tcW w:w="981" w:type="dxa"/>
          </w:tcPr>
          <w:p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hint="eastAsia" w:ascii="宋体" w:hAnsi="宋体" w:cs="Arial"/>
                <w:b/>
                <w:szCs w:val="24"/>
              </w:rPr>
              <w:t>管理层</w:t>
            </w:r>
          </w:p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cs="Arial"/>
                <w:szCs w:val="24"/>
              </w:rPr>
            </w:pPr>
            <w:r>
              <w:rPr>
                <w:rFonts w:ascii="宋体" w:hAnsi="宋体" w:cs="Arial"/>
                <w:spacing w:val="-6"/>
                <w:sz w:val="24"/>
                <w:szCs w:val="24"/>
              </w:rPr>
              <w:t>E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理解组织及其环境、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4.2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理解相关方的需求和期望、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 xml:space="preserve">4.3 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确定管理体系的范围、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4.4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环境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安全管理体系及其过程、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5.1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领导作用和承诺、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5.2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环境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安全方针、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5.3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O5.4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协商与参与、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6.1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应对风险和机遇的措施、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6.2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环境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安全目标及其实现的策划、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9.3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管理评审、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10.1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改进、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10.3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持续改进，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cs="Arial"/>
                <w:sz w:val="21"/>
                <w:szCs w:val="21"/>
                <w:lang w:val="en-US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 xml:space="preserve">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5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14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eastAsia="宋体" w:cs="Arial"/>
                <w:sz w:val="21"/>
                <w:szCs w:val="21"/>
                <w:lang w:eastAsia="zh-CN"/>
              </w:rPr>
            </w:pPr>
          </w:p>
        </w:tc>
        <w:tc>
          <w:tcPr>
            <w:tcW w:w="981" w:type="dxa"/>
          </w:tcPr>
          <w:p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hint="eastAsia" w:ascii="宋体" w:hAnsi="宋体" w:cs="Arial"/>
                <w:b/>
                <w:szCs w:val="24"/>
              </w:rPr>
              <w:t>管理层、安全事务代表</w:t>
            </w:r>
          </w:p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/>
                <w:b w:val="0"/>
                <w:bCs/>
                <w:sz w:val="24"/>
                <w:szCs w:val="24"/>
              </w:rPr>
            </w:pPr>
            <w:r>
              <w:rPr>
                <w:rFonts w:ascii="宋体" w:hAnsi="宋体" w:cs="Arial"/>
                <w:spacing w:val="-6"/>
                <w:sz w:val="24"/>
                <w:szCs w:val="24"/>
              </w:rPr>
              <w:t>O:4.1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理解组织及其环境、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4.2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理解相关方的需求和期望、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 xml:space="preserve">4.3 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确定管理体系的范围、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4.4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环境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安全管理体系及其过程、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5.1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领导作用和承诺、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5.2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环境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安全方针、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5.3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O5.4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协商与参与、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6.1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应对风险和机遇的措施、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6.2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环境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安全目标及其实现的策划、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9.3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管理评审、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10.1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改进、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10.3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持续改进，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cs="Arial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15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</w:tcPr>
          <w:p>
            <w:pPr>
              <w:spacing w:line="280" w:lineRule="exact"/>
              <w:rPr>
                <w:rFonts w:hint="default" w:asci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textAlignment w:val="baseline"/>
              <w:rPr>
                <w:rFonts w:ascii="宋体" w:cs="Arial"/>
                <w:spacing w:val="-6"/>
                <w:sz w:val="24"/>
                <w:szCs w:val="24"/>
              </w:rPr>
            </w:pPr>
            <w:r>
              <w:rPr>
                <w:rFonts w:ascii="宋体" w:hAnsi="宋体" w:cs="Arial"/>
                <w:sz w:val="24"/>
                <w:szCs w:val="24"/>
              </w:rPr>
              <w:t>O: 5.3</w:t>
            </w:r>
            <w:r>
              <w:rPr>
                <w:rFonts w:hint="eastAsia" w:ascii="宋体" w:hAnsi="宋体" w:cs="Arial"/>
                <w:sz w:val="24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z w:val="24"/>
                <w:szCs w:val="24"/>
              </w:rPr>
              <w:t>6.1.2</w:t>
            </w:r>
            <w:r>
              <w:rPr>
                <w:rFonts w:hint="eastAsia" w:ascii="宋体" w:hAnsi="宋体" w:cs="Arial"/>
                <w:sz w:val="24"/>
                <w:szCs w:val="24"/>
              </w:rPr>
              <w:t>环境因素</w:t>
            </w:r>
            <w:r>
              <w:rPr>
                <w:rFonts w:ascii="宋体" w:hAnsi="宋体" w:cs="Arial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危险源辨识与评价、</w:t>
            </w:r>
            <w:r>
              <w:rPr>
                <w:rFonts w:hint="eastAsia" w:ascii="宋体" w:hAnsi="宋体" w:cs="Arial"/>
                <w:sz w:val="24"/>
                <w:szCs w:val="24"/>
                <w:lang w:val="en-US" w:eastAsia="zh-CN"/>
              </w:rPr>
              <w:t>6.1.3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合规义务、法律法规和其他要求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6.1.4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措施的策划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、</w:t>
            </w:r>
            <w:r>
              <w:rPr>
                <w:rFonts w:ascii="宋体" w:hAnsi="宋体" w:cs="Arial"/>
                <w:sz w:val="24"/>
                <w:szCs w:val="24"/>
              </w:rPr>
              <w:t>6.2.1</w:t>
            </w:r>
            <w:r>
              <w:rPr>
                <w:rFonts w:hint="eastAsia" w:ascii="宋体" w:hAnsi="宋体" w:cs="Arial"/>
                <w:sz w:val="24"/>
                <w:szCs w:val="24"/>
              </w:rPr>
              <w:t>环境</w:t>
            </w:r>
            <w:r>
              <w:rPr>
                <w:rFonts w:ascii="宋体" w:hAnsi="宋体" w:cs="Arial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职业健康安全目标、</w:t>
            </w:r>
            <w:r>
              <w:rPr>
                <w:rFonts w:ascii="宋体" w:hAnsi="宋体" w:cs="Arial"/>
                <w:sz w:val="24"/>
                <w:szCs w:val="24"/>
              </w:rPr>
              <w:t>6.2.2</w:t>
            </w:r>
            <w:r>
              <w:rPr>
                <w:rFonts w:hint="eastAsia" w:ascii="宋体" w:hAnsi="宋体" w:cs="Arial"/>
                <w:sz w:val="24"/>
                <w:szCs w:val="24"/>
              </w:rPr>
              <w:t>实现环境</w:t>
            </w:r>
            <w:r>
              <w:rPr>
                <w:rFonts w:ascii="宋体" w:hAnsi="宋体" w:cs="Arial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职业健康安全目标措施的策划</w:t>
            </w:r>
            <w:r>
              <w:rPr>
                <w:rFonts w:hint="eastAsia" w:ascii="宋体" w:hAnsi="宋体" w:cs="Arial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cs="Arial"/>
                <w:sz w:val="24"/>
                <w:szCs w:val="24"/>
              </w:rPr>
              <w:t>8.1</w:t>
            </w:r>
            <w:r>
              <w:rPr>
                <w:rFonts w:hint="eastAsia" w:ascii="宋体" w:hAnsi="宋体" w:cs="Arial"/>
                <w:sz w:val="24"/>
                <w:szCs w:val="24"/>
              </w:rPr>
              <w:t>运行策划和控制</w:t>
            </w:r>
            <w:r>
              <w:rPr>
                <w:rFonts w:hint="eastAsia" w:ascii="宋体" w:hAnsi="宋体" w:cs="Arial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cs="Arial"/>
                <w:sz w:val="24"/>
                <w:szCs w:val="24"/>
              </w:rPr>
              <w:t>8.2</w:t>
            </w:r>
            <w:r>
              <w:rPr>
                <w:rFonts w:hint="eastAsia" w:ascii="宋体" w:hAnsi="宋体" w:cs="Arial"/>
                <w:sz w:val="24"/>
                <w:szCs w:val="24"/>
              </w:rPr>
              <w:t>应急准备和响应</w:t>
            </w:r>
            <w:r>
              <w:rPr>
                <w:rFonts w:hint="eastAsia" w:ascii="宋体" w:hAnsi="宋体" w:cs="Arial"/>
                <w:sz w:val="24"/>
                <w:szCs w:val="24"/>
                <w:lang w:val="en-US" w:eastAsia="zh-CN"/>
              </w:rPr>
              <w:t>9.1.2合规性评价、9.1.1监视测量和分析、</w:t>
            </w:r>
            <w:r>
              <w:rPr>
                <w:rFonts w:ascii="宋体" w:hAnsi="宋体" w:cs="Arial"/>
                <w:sz w:val="24"/>
                <w:szCs w:val="24"/>
              </w:rPr>
              <w:t xml:space="preserve">9.2 </w:t>
            </w:r>
            <w:r>
              <w:rPr>
                <w:rFonts w:hint="eastAsia" w:ascii="宋体" w:hAnsi="宋体" w:cs="Arial"/>
                <w:sz w:val="24"/>
                <w:szCs w:val="24"/>
              </w:rPr>
              <w:t>内部审核、</w:t>
            </w:r>
            <w:r>
              <w:rPr>
                <w:rFonts w:ascii="宋体" w:hAnsi="宋体" w:cs="Arial"/>
                <w:sz w:val="24"/>
                <w:szCs w:val="24"/>
              </w:rPr>
              <w:t>10.2</w:t>
            </w:r>
            <w:r>
              <w:rPr>
                <w:rFonts w:hint="eastAsia" w:ascii="宋体" w:hAnsi="宋体" w:cs="Arial"/>
                <w:sz w:val="24"/>
                <w:szCs w:val="24"/>
              </w:rPr>
              <w:t>不符合</w:t>
            </w:r>
            <w:r>
              <w:rPr>
                <w:rFonts w:ascii="宋体" w:hAnsi="宋体" w:cs="Arial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事件和纠正措施，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15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</w:tcPr>
          <w:p>
            <w:pPr>
              <w:spacing w:line="280" w:lineRule="exact"/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textAlignment w:val="baseline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ascii="宋体" w:hAnsi="宋体" w:cs="Arial"/>
                <w:sz w:val="24"/>
                <w:szCs w:val="24"/>
              </w:rPr>
              <w:t>E: 5.3</w:t>
            </w:r>
            <w:r>
              <w:rPr>
                <w:rFonts w:hint="eastAsia" w:ascii="宋体" w:hAnsi="宋体" w:cs="Arial"/>
                <w:sz w:val="24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z w:val="24"/>
                <w:szCs w:val="24"/>
              </w:rPr>
              <w:t>6.1.2</w:t>
            </w:r>
            <w:r>
              <w:rPr>
                <w:rFonts w:hint="eastAsia" w:ascii="宋体" w:hAnsi="宋体" w:cs="Arial"/>
                <w:sz w:val="24"/>
                <w:szCs w:val="24"/>
              </w:rPr>
              <w:t>环境因素</w:t>
            </w:r>
            <w:r>
              <w:rPr>
                <w:rFonts w:ascii="宋体" w:hAnsi="宋体" w:cs="Arial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危险源辨识与评价、</w:t>
            </w:r>
            <w:r>
              <w:rPr>
                <w:rFonts w:hint="eastAsia" w:ascii="宋体" w:hAnsi="宋体" w:cs="Arial"/>
                <w:sz w:val="24"/>
                <w:szCs w:val="24"/>
                <w:lang w:val="en-US" w:eastAsia="zh-CN"/>
              </w:rPr>
              <w:t>6.1.3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合规义务、法律法规和其他要求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6.1.4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措施的策划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、</w:t>
            </w:r>
            <w:r>
              <w:rPr>
                <w:rFonts w:ascii="宋体" w:hAnsi="宋体" w:cs="Arial"/>
                <w:sz w:val="24"/>
                <w:szCs w:val="24"/>
              </w:rPr>
              <w:t>6.2.1</w:t>
            </w:r>
            <w:r>
              <w:rPr>
                <w:rFonts w:hint="eastAsia" w:ascii="宋体" w:hAnsi="宋体" w:cs="Arial"/>
                <w:sz w:val="24"/>
                <w:szCs w:val="24"/>
              </w:rPr>
              <w:t>环境</w:t>
            </w:r>
            <w:r>
              <w:rPr>
                <w:rFonts w:ascii="宋体" w:hAnsi="宋体" w:cs="Arial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职业健康安全目标、</w:t>
            </w:r>
            <w:r>
              <w:rPr>
                <w:rFonts w:ascii="宋体" w:hAnsi="宋体" w:cs="Arial"/>
                <w:sz w:val="24"/>
                <w:szCs w:val="24"/>
              </w:rPr>
              <w:t>6.2.2</w:t>
            </w:r>
            <w:r>
              <w:rPr>
                <w:rFonts w:hint="eastAsia" w:ascii="宋体" w:hAnsi="宋体" w:cs="Arial"/>
                <w:sz w:val="24"/>
                <w:szCs w:val="24"/>
              </w:rPr>
              <w:t>实现环境</w:t>
            </w:r>
            <w:r>
              <w:rPr>
                <w:rFonts w:ascii="宋体" w:hAnsi="宋体" w:cs="Arial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职业健康安全目标措施的策划</w:t>
            </w:r>
            <w:r>
              <w:rPr>
                <w:rFonts w:hint="eastAsia" w:ascii="宋体" w:hAnsi="宋体" w:cs="Arial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cs="Arial"/>
                <w:sz w:val="24"/>
                <w:szCs w:val="24"/>
              </w:rPr>
              <w:t>8.1</w:t>
            </w:r>
            <w:r>
              <w:rPr>
                <w:rFonts w:hint="eastAsia" w:ascii="宋体" w:hAnsi="宋体" w:cs="Arial"/>
                <w:sz w:val="24"/>
                <w:szCs w:val="24"/>
              </w:rPr>
              <w:t>运行策划和控制</w:t>
            </w:r>
            <w:r>
              <w:rPr>
                <w:rFonts w:hint="eastAsia" w:ascii="宋体" w:hAnsi="宋体" w:cs="Arial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cs="Arial"/>
                <w:sz w:val="24"/>
                <w:szCs w:val="24"/>
              </w:rPr>
              <w:t>8.2</w:t>
            </w:r>
            <w:r>
              <w:rPr>
                <w:rFonts w:hint="eastAsia" w:ascii="宋体" w:hAnsi="宋体" w:cs="Arial"/>
                <w:sz w:val="24"/>
                <w:szCs w:val="24"/>
              </w:rPr>
              <w:t>应急准备和响应</w:t>
            </w:r>
            <w:r>
              <w:rPr>
                <w:rFonts w:hint="eastAsia" w:ascii="宋体" w:hAnsi="宋体" w:cs="Arial"/>
                <w:sz w:val="24"/>
                <w:szCs w:val="24"/>
                <w:lang w:val="en-US" w:eastAsia="zh-CN"/>
              </w:rPr>
              <w:t>9.1.2合规性评价、9.1.1监视测量和分析、</w:t>
            </w:r>
            <w:r>
              <w:rPr>
                <w:rFonts w:ascii="宋体" w:hAnsi="宋体" w:cs="Arial"/>
                <w:sz w:val="24"/>
                <w:szCs w:val="24"/>
              </w:rPr>
              <w:t xml:space="preserve">9.2 </w:t>
            </w:r>
            <w:r>
              <w:rPr>
                <w:rFonts w:hint="eastAsia" w:ascii="宋体" w:hAnsi="宋体" w:cs="Arial"/>
                <w:sz w:val="24"/>
                <w:szCs w:val="24"/>
              </w:rPr>
              <w:t>内部审核、</w:t>
            </w:r>
            <w:r>
              <w:rPr>
                <w:rFonts w:ascii="宋体" w:hAnsi="宋体" w:cs="Arial"/>
                <w:sz w:val="24"/>
                <w:szCs w:val="24"/>
              </w:rPr>
              <w:t>10.2</w:t>
            </w:r>
            <w:r>
              <w:rPr>
                <w:rFonts w:hint="eastAsia" w:ascii="宋体" w:hAnsi="宋体" w:cs="Arial"/>
                <w:sz w:val="24"/>
                <w:szCs w:val="24"/>
              </w:rPr>
              <w:t>不符合</w:t>
            </w:r>
            <w:r>
              <w:rPr>
                <w:rFonts w:ascii="宋体" w:hAnsi="宋体" w:cs="Arial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事件和纠正措施，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  <w:jc w:val="center"/>
        </w:trPr>
        <w:tc>
          <w:tcPr>
            <w:tcW w:w="124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2022.4.7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8: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</w:tcPr>
          <w:p>
            <w:pPr>
              <w:spacing w:line="280" w:lineRule="exact"/>
              <w:rPr>
                <w:rFonts w:hint="default" w:asci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textAlignment w:val="baseline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ascii="宋体" w:hAnsi="宋体" w:cs="Arial"/>
                <w:sz w:val="24"/>
                <w:szCs w:val="24"/>
              </w:rPr>
              <w:t>O: 5.3</w:t>
            </w:r>
            <w:r>
              <w:rPr>
                <w:rFonts w:hint="eastAsia" w:ascii="宋体" w:hAnsi="宋体" w:cs="Arial"/>
                <w:sz w:val="24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z w:val="24"/>
                <w:szCs w:val="24"/>
              </w:rPr>
              <w:t>6.2</w:t>
            </w:r>
            <w:r>
              <w:rPr>
                <w:rFonts w:hint="eastAsia" w:ascii="宋体" w:hAnsi="宋体" w:cs="Arial"/>
                <w:sz w:val="24"/>
                <w:szCs w:val="24"/>
              </w:rPr>
              <w:t>环境与职业健康安全目标、</w:t>
            </w:r>
            <w:r>
              <w:rPr>
                <w:rFonts w:ascii="宋体" w:hAnsi="宋体" w:cs="Arial"/>
                <w:sz w:val="24"/>
                <w:szCs w:val="24"/>
              </w:rPr>
              <w:t>6.1.2</w:t>
            </w:r>
            <w:r>
              <w:rPr>
                <w:rFonts w:hint="eastAsia" w:ascii="宋体" w:hAnsi="宋体" w:cs="Arial"/>
                <w:sz w:val="24"/>
                <w:szCs w:val="24"/>
              </w:rPr>
              <w:t>环境因素</w:t>
            </w:r>
            <w:r>
              <w:rPr>
                <w:rFonts w:ascii="宋体" w:hAnsi="宋体" w:cs="Arial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危险源辨识与评价、</w:t>
            </w:r>
            <w:r>
              <w:rPr>
                <w:rFonts w:ascii="宋体" w:hAnsi="宋体" w:cs="Arial"/>
                <w:sz w:val="24"/>
                <w:szCs w:val="24"/>
              </w:rPr>
              <w:t>8.1</w:t>
            </w:r>
            <w:r>
              <w:rPr>
                <w:rFonts w:hint="eastAsia" w:ascii="宋体" w:hAnsi="宋体" w:cs="Arial"/>
                <w:sz w:val="24"/>
                <w:szCs w:val="24"/>
              </w:rPr>
              <w:t>运行策划和控制、</w:t>
            </w:r>
            <w:r>
              <w:rPr>
                <w:rFonts w:ascii="宋体" w:hAnsi="宋体" w:cs="Arial"/>
                <w:sz w:val="24"/>
                <w:szCs w:val="24"/>
              </w:rPr>
              <w:t>8.2</w:t>
            </w:r>
            <w:r>
              <w:rPr>
                <w:rFonts w:hint="eastAsia" w:ascii="宋体" w:hAnsi="宋体" w:cs="Arial"/>
                <w:sz w:val="24"/>
                <w:szCs w:val="24"/>
              </w:rPr>
              <w:t>应急准备和响应，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8: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11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vAlign w:val="top"/>
          </w:tcPr>
          <w:p>
            <w:pPr>
              <w:spacing w:line="280" w:lineRule="exact"/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textAlignment w:val="baseline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ascii="宋体" w:hAnsi="宋体" w:cs="Arial"/>
                <w:sz w:val="24"/>
                <w:szCs w:val="24"/>
              </w:rPr>
              <w:t>E: 5.3</w:t>
            </w:r>
            <w:r>
              <w:rPr>
                <w:rFonts w:hint="eastAsia" w:ascii="宋体" w:hAnsi="宋体" w:cs="Arial"/>
                <w:sz w:val="24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z w:val="24"/>
                <w:szCs w:val="24"/>
              </w:rPr>
              <w:t>6.2</w:t>
            </w:r>
            <w:r>
              <w:rPr>
                <w:rFonts w:hint="eastAsia" w:ascii="宋体" w:hAnsi="宋体" w:cs="Arial"/>
                <w:sz w:val="24"/>
                <w:szCs w:val="24"/>
              </w:rPr>
              <w:t>环境与职业健康安全目标、</w:t>
            </w:r>
            <w:r>
              <w:rPr>
                <w:rFonts w:ascii="宋体" w:hAnsi="宋体" w:cs="Arial"/>
                <w:sz w:val="24"/>
                <w:szCs w:val="24"/>
              </w:rPr>
              <w:t>6.1.2</w:t>
            </w:r>
            <w:r>
              <w:rPr>
                <w:rFonts w:hint="eastAsia" w:ascii="宋体" w:hAnsi="宋体" w:cs="Arial"/>
                <w:sz w:val="24"/>
                <w:szCs w:val="24"/>
              </w:rPr>
              <w:t>环境因素</w:t>
            </w:r>
            <w:r>
              <w:rPr>
                <w:rFonts w:ascii="宋体" w:hAnsi="宋体" w:cs="Arial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危险源辨识与评价、</w:t>
            </w:r>
            <w:r>
              <w:rPr>
                <w:rFonts w:ascii="宋体" w:hAnsi="宋体" w:cs="Arial"/>
                <w:sz w:val="24"/>
                <w:szCs w:val="24"/>
              </w:rPr>
              <w:t>8.1</w:t>
            </w:r>
            <w:r>
              <w:rPr>
                <w:rFonts w:hint="eastAsia" w:ascii="宋体" w:hAnsi="宋体" w:cs="Arial"/>
                <w:sz w:val="24"/>
                <w:szCs w:val="24"/>
              </w:rPr>
              <w:t>运行策划和控制、</w:t>
            </w:r>
            <w:r>
              <w:rPr>
                <w:rFonts w:ascii="宋体" w:hAnsi="宋体" w:cs="Arial"/>
                <w:sz w:val="24"/>
                <w:szCs w:val="24"/>
              </w:rPr>
              <w:t>8.2</w:t>
            </w:r>
            <w:r>
              <w:rPr>
                <w:rFonts w:hint="eastAsia" w:ascii="宋体" w:hAnsi="宋体" w:cs="Arial"/>
                <w:sz w:val="24"/>
                <w:szCs w:val="24"/>
              </w:rPr>
              <w:t>应急准备和响应，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11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vAlign w:val="top"/>
          </w:tcPr>
          <w:p>
            <w:pPr>
              <w:spacing w:line="280" w:lineRule="exact"/>
              <w:rPr>
                <w:rFonts w:hint="default" w:asci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textAlignment w:val="baseline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  <w:lang w:val="en-US" w:eastAsia="zh-CN"/>
              </w:rPr>
              <w:t>E</w:t>
            </w:r>
            <w:bookmarkStart w:id="31" w:name="_GoBack"/>
            <w:bookmarkEnd w:id="31"/>
            <w:r>
              <w:rPr>
                <w:rFonts w:ascii="宋体" w:hAnsi="宋体" w:cs="Arial"/>
                <w:sz w:val="24"/>
                <w:szCs w:val="24"/>
              </w:rPr>
              <w:t>O: 5.3</w:t>
            </w:r>
            <w:r>
              <w:rPr>
                <w:rFonts w:hint="eastAsia" w:ascii="宋体" w:hAnsi="宋体" w:cs="Arial"/>
                <w:sz w:val="24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z w:val="24"/>
                <w:szCs w:val="24"/>
              </w:rPr>
              <w:t>6.2</w:t>
            </w:r>
            <w:r>
              <w:rPr>
                <w:rFonts w:hint="eastAsia" w:ascii="宋体" w:hAnsi="宋体" w:cs="Arial"/>
                <w:sz w:val="24"/>
                <w:szCs w:val="24"/>
              </w:rPr>
              <w:t>环境与职业健康安全目标、</w:t>
            </w:r>
            <w:r>
              <w:rPr>
                <w:rFonts w:ascii="宋体" w:hAnsi="宋体" w:cs="Arial"/>
                <w:sz w:val="24"/>
                <w:szCs w:val="24"/>
              </w:rPr>
              <w:t>6.1.2</w:t>
            </w:r>
            <w:r>
              <w:rPr>
                <w:rFonts w:hint="eastAsia" w:ascii="宋体" w:hAnsi="宋体" w:cs="Arial"/>
                <w:sz w:val="24"/>
                <w:szCs w:val="24"/>
              </w:rPr>
              <w:t>环境因素</w:t>
            </w:r>
            <w:r>
              <w:rPr>
                <w:rFonts w:ascii="宋体" w:hAnsi="宋体" w:cs="Arial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危险源辨识与评价、</w:t>
            </w:r>
            <w:r>
              <w:rPr>
                <w:rFonts w:ascii="宋体" w:hAnsi="宋体" w:cs="Arial"/>
                <w:sz w:val="24"/>
                <w:szCs w:val="24"/>
              </w:rPr>
              <w:t>8.1</w:t>
            </w:r>
            <w:r>
              <w:rPr>
                <w:rFonts w:hint="eastAsia" w:ascii="宋体" w:hAnsi="宋体" w:cs="Arial"/>
                <w:sz w:val="24"/>
                <w:szCs w:val="24"/>
              </w:rPr>
              <w:t>运行策划和控制、</w:t>
            </w:r>
            <w:r>
              <w:rPr>
                <w:rFonts w:ascii="宋体" w:hAnsi="宋体" w:cs="Arial"/>
                <w:sz w:val="24"/>
                <w:szCs w:val="24"/>
              </w:rPr>
              <w:t>8.2</w:t>
            </w:r>
            <w:r>
              <w:rPr>
                <w:rFonts w:hint="eastAsia" w:ascii="宋体" w:hAnsi="宋体" w:cs="Arial"/>
                <w:sz w:val="24"/>
                <w:szCs w:val="24"/>
              </w:rPr>
              <w:t>应急准备和响应，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804" w:type="dxa"/>
            <w:gridSpan w:val="2"/>
          </w:tcPr>
          <w:p>
            <w:pPr>
              <w:spacing w:line="280" w:lineRule="exact"/>
              <w:ind w:firstLine="480" w:firstLineChars="200"/>
              <w:rPr>
                <w:rFonts w:ascii="宋体" w:cs="Arial"/>
                <w:szCs w:val="24"/>
              </w:rPr>
            </w:pPr>
            <w:r>
              <w:rPr>
                <w:rFonts w:hint="eastAsia" w:ascii="宋体" w:hAnsi="宋体" w:cs="Arial"/>
                <w:szCs w:val="24"/>
              </w:rPr>
              <w:t>补充及跟踪审核：必要部门、必要条款；审核组内部沟通；</w:t>
            </w:r>
          </w:p>
          <w:p>
            <w:pPr>
              <w:spacing w:line="280" w:lineRule="exact"/>
              <w:ind w:firstLine="480" w:firstLineChars="200"/>
              <w:rPr>
                <w:rFonts w:ascii="宋体" w:cs="Arial"/>
                <w:szCs w:val="24"/>
              </w:rPr>
            </w:pPr>
            <w:r>
              <w:rPr>
                <w:rFonts w:hint="eastAsia" w:ascii="宋体" w:hAnsi="宋体" w:cs="Arial"/>
                <w:szCs w:val="24"/>
              </w:rPr>
              <w:t>审核组与受审核方领导层沟通；</w:t>
            </w:r>
          </w:p>
          <w:p>
            <w:pPr>
              <w:spacing w:line="280" w:lineRule="exact"/>
              <w:ind w:firstLine="480" w:firstLineChars="200"/>
              <w:rPr>
                <w:rFonts w:ascii="宋体" w:cs="Arial"/>
                <w:szCs w:val="24"/>
              </w:rPr>
            </w:pPr>
            <w:r>
              <w:rPr>
                <w:rFonts w:hint="eastAsia" w:ascii="宋体" w:hAnsi="宋体" w:cs="Arial"/>
                <w:szCs w:val="24"/>
              </w:rPr>
              <w:t>末次会：综合评价</w:t>
            </w:r>
            <w:r>
              <w:rPr>
                <w:rFonts w:ascii="宋体" w:hAnsi="宋体" w:cs="Arial"/>
                <w:szCs w:val="24"/>
              </w:rPr>
              <w:t>EMS\OHSMS</w:t>
            </w:r>
            <w:r>
              <w:rPr>
                <w:rFonts w:hint="eastAsia" w:ascii="宋体" w:hAnsi="宋体" w:cs="Arial"/>
                <w:szCs w:val="24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cs="Arial"/>
                <w:sz w:val="21"/>
                <w:szCs w:val="21"/>
                <w:lang w:val="en-US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AB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AD3512"/>
    <w:rsid w:val="415B78AE"/>
    <w:rsid w:val="66A01B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2154</Words>
  <Characters>2987</Characters>
  <Lines>37</Lines>
  <Paragraphs>10</Paragraphs>
  <TotalTime>12</TotalTime>
  <ScaleCrop>false</ScaleCrop>
  <LinksUpToDate>false</LinksUpToDate>
  <CharactersWithSpaces>3052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伍光华</cp:lastModifiedBy>
  <dcterms:modified xsi:type="dcterms:W3CDTF">2022-04-07T03:44:32Z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