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0311-2022-QEO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朔州正德科技发展有限公司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jc w:val="both"/>
            </w:pPr>
            <w:bookmarkStart w:id="5" w:name="组织名称Add1"/>
            <w:r>
              <w:t>朔州正德科技发展有限公司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朔州市平鲁区北坪循环经济园区纬四路</w:t>
            </w:r>
            <w:bookmarkEnd w:id="6"/>
          </w:p>
        </w:tc>
        <w:tc>
          <w:tcPr>
            <w:tcW w:w="1242" w:type="dxa"/>
            <w:vMerge w:val="restart"/>
            <w:vAlign w:val="center"/>
          </w:tcPr>
          <w:p>
            <w:r>
              <w:rPr>
                <w:rFonts w:hint="eastAsia"/>
              </w:rPr>
              <w:t>邮编</w:t>
            </w:r>
          </w:p>
        </w:tc>
        <w:tc>
          <w:tcPr>
            <w:tcW w:w="1771" w:type="dxa"/>
          </w:tcPr>
          <w:p>
            <w:bookmarkStart w:id="7" w:name="注册邮编"/>
            <w:r>
              <w:t>036800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朔州市平鲁区北坪循环经济园区纬四路</w:t>
            </w:r>
            <w:bookmarkEnd w:id="8"/>
          </w:p>
        </w:tc>
        <w:tc>
          <w:tcPr>
            <w:tcW w:w="1242" w:type="dxa"/>
            <w:vMerge w:val="continue"/>
            <w:vAlign w:val="center"/>
          </w:tcPr>
          <w:p/>
        </w:tc>
        <w:tc>
          <w:tcPr>
            <w:tcW w:w="1771" w:type="dxa"/>
          </w:tcPr>
          <w:p>
            <w:bookmarkStart w:id="9" w:name="办公邮编"/>
            <w:r>
              <w:t>036800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张鹏宇</w:t>
            </w:r>
            <w:bookmarkEnd w:id="10"/>
          </w:p>
        </w:tc>
        <w:tc>
          <w:tcPr>
            <w:tcW w:w="1313" w:type="dxa"/>
            <w:vAlign w:val="center"/>
          </w:tcPr>
          <w:p>
            <w:r>
              <w:rPr>
                <w:rFonts w:hint="eastAsia"/>
              </w:rPr>
              <w:t>电话</w:t>
            </w:r>
          </w:p>
        </w:tc>
        <w:tc>
          <w:tcPr>
            <w:tcW w:w="2180" w:type="dxa"/>
            <w:vAlign w:val="center"/>
          </w:tcPr>
          <w:p>
            <w:bookmarkStart w:id="11" w:name="联系人电话"/>
            <w:r>
              <w:t>13934838787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强玉连</w:t>
            </w:r>
            <w:bookmarkEnd w:id="13"/>
          </w:p>
        </w:tc>
        <w:tc>
          <w:tcPr>
            <w:tcW w:w="1313" w:type="dxa"/>
            <w:vAlign w:val="center"/>
          </w:tcPr>
          <w:p>
            <w:r>
              <w:rPr>
                <w:rFonts w:hint="eastAsia"/>
              </w:rPr>
              <w:t>管理者代表</w:t>
            </w:r>
          </w:p>
        </w:tc>
        <w:tc>
          <w:tcPr>
            <w:tcW w:w="2180" w:type="dxa"/>
          </w:tcPr>
          <w:p>
            <w:bookmarkStart w:id="14" w:name="管理者代表"/>
            <w:r>
              <w:t>张鹏宇</w:t>
            </w:r>
            <w:bookmarkEnd w:id="14"/>
          </w:p>
        </w:tc>
        <w:tc>
          <w:tcPr>
            <w:tcW w:w="1242" w:type="dxa"/>
          </w:tcPr>
          <w:p>
            <w:r>
              <w:rPr>
                <w:rFonts w:hint="eastAsia"/>
              </w:rPr>
              <w:t>邮箱</w:t>
            </w:r>
          </w:p>
        </w:tc>
        <w:tc>
          <w:tcPr>
            <w:tcW w:w="1771" w:type="dxa"/>
          </w:tcPr>
          <w:p>
            <w:bookmarkStart w:id="15" w:name="联系人邮箱"/>
            <w:r>
              <w:rPr>
                <w:sz w:val="21"/>
                <w:szCs w:val="21"/>
              </w:rPr>
              <w:t>new76@163.com</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center"/>
          </w:tcPr>
          <w:p>
            <w:pPr>
              <w:jc w:val="both"/>
            </w:pPr>
            <w:r>
              <w:rPr>
                <w:rFonts w:hint="eastAsia"/>
                <w:highlight w:val="none"/>
              </w:rPr>
              <w:t>多班次说明</w:t>
            </w:r>
          </w:p>
        </w:tc>
        <w:tc>
          <w:tcPr>
            <w:tcW w:w="8058" w:type="dxa"/>
            <w:gridSpan w:val="5"/>
            <w:shd w:val="clear" w:color="auto" w:fill="auto"/>
            <w:vAlign w:val="center"/>
          </w:tcPr>
          <w:p>
            <w:pPr>
              <w:jc w:val="both"/>
            </w:pPr>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280" w:lineRule="exact"/>
              <w:jc w:val="both"/>
              <w:rPr>
                <w:rFonts w:hint="eastAsia"/>
                <w:b w:val="0"/>
                <w:bCs w:val="0"/>
                <w:sz w:val="20"/>
                <w:lang w:val="en-US" w:eastAsia="zh-CN"/>
              </w:rPr>
            </w:pPr>
            <w:r>
              <w:rPr>
                <w:rFonts w:hint="eastAsia"/>
                <w:b w:val="0"/>
                <w:bCs w:val="0"/>
                <w:color w:val="000000"/>
              </w:rPr>
              <w:t>矿用托辊</w:t>
            </w:r>
            <w:r>
              <w:rPr>
                <w:rFonts w:hint="eastAsia"/>
                <w:b w:val="0"/>
                <w:bCs w:val="0"/>
                <w:sz w:val="20"/>
                <w:lang w:val="en-US" w:eastAsia="zh-CN"/>
              </w:rPr>
              <w:t>生产：      下料---焊接---机加工---组装---试验---喷漆---包装入库</w:t>
            </w:r>
          </w:p>
          <w:p>
            <w:r>
              <w:rPr>
                <w:rFonts w:hint="eastAsia"/>
                <w:color w:val="000000"/>
              </w:rPr>
              <w:t>矿山机械设备的维修</w:t>
            </w:r>
            <w:r>
              <w:rPr>
                <w:rFonts w:hint="eastAsia"/>
                <w:b w:val="0"/>
                <w:bCs w:val="0"/>
                <w:sz w:val="20"/>
                <w:lang w:val="en-US" w:eastAsia="zh-CN"/>
              </w:rPr>
              <w:t>：清洗---拆解---维修---装配---试验---喷漆---包装入库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6" w:name="审核日期"/>
            <w:r>
              <w:rPr>
                <w:rFonts w:hint="eastAsia"/>
              </w:rPr>
              <w:t>2022年04月0</w:t>
            </w:r>
            <w:r>
              <w:rPr>
                <w:rFonts w:hint="eastAsia"/>
                <w:lang w:val="en-US" w:eastAsia="zh-CN"/>
              </w:rPr>
              <w:t>7</w:t>
            </w:r>
            <w:r>
              <w:rPr>
                <w:rFonts w:hint="eastAsia"/>
              </w:rPr>
              <w:t>日 下午至2022年04月0</w:t>
            </w:r>
            <w:r>
              <w:rPr>
                <w:rFonts w:hint="eastAsia"/>
                <w:lang w:val="en-US" w:eastAsia="zh-CN"/>
              </w:rPr>
              <w:t>9</w:t>
            </w:r>
            <w:r>
              <w:rPr>
                <w:rFonts w:hint="eastAsia"/>
              </w:rPr>
              <w:t>日 下午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2" w:name="QJ勾选Add1"/>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朔州市平鲁区北坪循环经济园区纬四路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jc w:val="both"/>
            </w:pPr>
            <w:bookmarkStart w:id="30" w:name="审核范围"/>
            <w:r>
              <w:t>Q：矿用托辊的生产；矿山机械设备的维修</w:t>
            </w:r>
          </w:p>
          <w:p>
            <w:pPr>
              <w:jc w:val="both"/>
            </w:pPr>
            <w:r>
              <w:t>E：矿用托辊的生产；矿山机械设备的维修所涉及场所的相关环境管理活动</w:t>
            </w:r>
          </w:p>
          <w:p>
            <w:pPr>
              <w:jc w:val="both"/>
            </w:pPr>
            <w:r>
              <w:t>O：矿用托辊的生产；矿山机械设备的维修所涉及场所的相关职业健康安全管理活动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both"/>
            </w:pPr>
            <w:bookmarkStart w:id="31" w:name="专业代码"/>
            <w:r>
              <w:t>Q：18.05.02;18.08.00</w:t>
            </w:r>
          </w:p>
          <w:p>
            <w:pPr>
              <w:jc w:val="both"/>
            </w:pPr>
            <w:r>
              <w:t>E：18.05.02;18.08.00</w:t>
            </w:r>
          </w:p>
          <w:p>
            <w:pPr>
              <w:jc w:val="both"/>
            </w:pPr>
            <w:r>
              <w:t>O：18.05.02;18.08.00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2021年10月01日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06"/>
        <w:gridCol w:w="1750"/>
        <w:gridCol w:w="460"/>
        <w:gridCol w:w="2350"/>
        <w:gridCol w:w="27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306" w:type="dxa"/>
            <w:shd w:val="clear" w:color="auto" w:fill="F3F3F3"/>
            <w:tcMar>
              <w:left w:w="57" w:type="dxa"/>
              <w:right w:w="57" w:type="dxa"/>
            </w:tcMar>
          </w:tcPr>
          <w:p>
            <w:r>
              <w:rPr>
                <w:rFonts w:hint="eastAsia"/>
              </w:rPr>
              <w:t>组织名称及注册场所地址</w:t>
            </w:r>
          </w:p>
        </w:tc>
        <w:tc>
          <w:tcPr>
            <w:tcW w:w="1750" w:type="dxa"/>
            <w:shd w:val="clear" w:color="auto" w:fill="F3F3F3"/>
            <w:tcMar>
              <w:left w:w="57" w:type="dxa"/>
              <w:right w:w="57" w:type="dxa"/>
            </w:tcMar>
          </w:tcPr>
          <w:p>
            <w:r>
              <w:rPr>
                <w:rFonts w:hint="eastAsia"/>
              </w:rPr>
              <w:t>经营场所的地址</w:t>
            </w:r>
          </w:p>
          <w:p>
            <w:r>
              <w:rPr>
                <w:rFonts w:hint="eastAsia"/>
              </w:rPr>
              <w:t>（多现场和临时现场）</w:t>
            </w:r>
          </w:p>
        </w:tc>
        <w:tc>
          <w:tcPr>
            <w:tcW w:w="460" w:type="dxa"/>
            <w:shd w:val="clear" w:color="auto" w:fill="F3F3F3"/>
            <w:tcMar>
              <w:left w:w="57" w:type="dxa"/>
              <w:right w:w="57" w:type="dxa"/>
            </w:tcMar>
          </w:tcPr>
          <w:p>
            <w:r>
              <w:rPr>
                <w:rFonts w:hint="eastAsia"/>
              </w:rPr>
              <w:t>员工人数</w:t>
            </w:r>
          </w:p>
        </w:tc>
        <w:tc>
          <w:tcPr>
            <w:tcW w:w="2350" w:type="dxa"/>
            <w:shd w:val="clear" w:color="auto" w:fill="F3F3F3"/>
            <w:tcMar>
              <w:left w:w="57" w:type="dxa"/>
              <w:right w:w="57" w:type="dxa"/>
            </w:tcMar>
          </w:tcPr>
          <w:p>
            <w:r>
              <w:rPr>
                <w:rFonts w:hint="eastAsia"/>
              </w:rPr>
              <w:t>审核范围（产品和过程）</w:t>
            </w:r>
          </w:p>
          <w:p/>
          <w:p/>
        </w:tc>
        <w:tc>
          <w:tcPr>
            <w:tcW w:w="271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1306" w:type="dxa"/>
            <w:vAlign w:val="top"/>
          </w:tcPr>
          <w:p>
            <w:pPr>
              <w:spacing w:before="40" w:after="40"/>
              <w:rPr>
                <w:lang w:val="de-DE" w:eastAsia="ja-JP"/>
              </w:rPr>
            </w:pPr>
            <w:r>
              <w:rPr>
                <w:rFonts w:ascii="宋体"/>
                <w:b/>
                <w:color w:val="000000"/>
                <w:szCs w:val="21"/>
              </w:rPr>
              <w:t>朔州正德科技发展有限公司</w:t>
            </w:r>
          </w:p>
        </w:tc>
        <w:tc>
          <w:tcPr>
            <w:tcW w:w="1750" w:type="dxa"/>
            <w:vAlign w:val="top"/>
          </w:tcPr>
          <w:p>
            <w:pPr>
              <w:spacing w:before="40" w:after="40"/>
              <w:rPr>
                <w:lang w:val="de-DE" w:eastAsia="ja-JP"/>
              </w:rPr>
            </w:pPr>
            <w:r>
              <w:rPr>
                <w:rFonts w:ascii="宋体"/>
                <w:b/>
                <w:color w:val="000000"/>
                <w:szCs w:val="21"/>
              </w:rPr>
              <w:t>朔州市平鲁区北坪循环经济园区纬四路</w:t>
            </w:r>
          </w:p>
        </w:tc>
        <w:tc>
          <w:tcPr>
            <w:tcW w:w="460" w:type="dxa"/>
            <w:vAlign w:val="center"/>
          </w:tcPr>
          <w:p>
            <w:pPr>
              <w:spacing w:before="40" w:after="40"/>
              <w:rPr>
                <w:lang w:eastAsia="ja-JP"/>
              </w:rPr>
            </w:pPr>
            <w:r>
              <w:rPr>
                <w:rFonts w:hint="eastAsia" w:eastAsia="黑体"/>
                <w:szCs w:val="21"/>
                <w:lang w:val="en-US" w:eastAsia="zh-CN"/>
              </w:rPr>
              <w:t>25</w:t>
            </w:r>
          </w:p>
        </w:tc>
        <w:tc>
          <w:tcPr>
            <w:tcW w:w="2350" w:type="dxa"/>
            <w:vAlign w:val="center"/>
          </w:tcPr>
          <w:p>
            <w:pPr>
              <w:pStyle w:val="20"/>
              <w:rPr>
                <w:rFonts w:hint="eastAsia" w:eastAsia="黑体" w:cs="Arial"/>
                <w:sz w:val="21"/>
                <w:szCs w:val="21"/>
                <w:lang w:val="en-US" w:eastAsia="ja-JP"/>
              </w:rPr>
            </w:pPr>
            <w:r>
              <w:rPr>
                <w:rFonts w:hint="eastAsia" w:eastAsia="黑体" w:cs="Arial"/>
                <w:sz w:val="21"/>
                <w:szCs w:val="21"/>
                <w:lang w:val="en-US" w:eastAsia="ja-JP"/>
              </w:rPr>
              <w:t>Q：矿用托辊的生产；矿山机械设备的维修</w:t>
            </w:r>
          </w:p>
          <w:p>
            <w:pPr>
              <w:pStyle w:val="20"/>
              <w:rPr>
                <w:rFonts w:hint="eastAsia" w:eastAsia="黑体" w:cs="Arial"/>
                <w:sz w:val="21"/>
                <w:szCs w:val="21"/>
                <w:lang w:val="en-US" w:eastAsia="ja-JP"/>
              </w:rPr>
            </w:pPr>
            <w:r>
              <w:rPr>
                <w:rFonts w:hint="eastAsia" w:eastAsia="黑体" w:cs="Arial"/>
                <w:sz w:val="21"/>
                <w:szCs w:val="21"/>
                <w:lang w:val="en-US" w:eastAsia="ja-JP"/>
              </w:rPr>
              <w:t>E：矿用托辊的生产；矿山机械设备的维修所涉及场所的相关环境管理活动</w:t>
            </w:r>
          </w:p>
          <w:p>
            <w:pPr>
              <w:pStyle w:val="20"/>
              <w:rPr>
                <w:lang w:eastAsia="ja-JP"/>
              </w:rPr>
            </w:pPr>
            <w:r>
              <w:rPr>
                <w:rFonts w:hint="eastAsia" w:eastAsia="黑体" w:cs="Arial"/>
                <w:sz w:val="21"/>
                <w:szCs w:val="21"/>
                <w:lang w:val="en-US" w:eastAsia="ja-JP"/>
              </w:rPr>
              <w:t>O：矿用托辊的生产；矿山机械设备的维修所涉及场所的相关职业健康安全管理活动</w:t>
            </w:r>
          </w:p>
        </w:tc>
        <w:tc>
          <w:tcPr>
            <w:tcW w:w="2711" w:type="dxa"/>
            <w:vAlign w:val="center"/>
          </w:tcPr>
          <w:p>
            <w:pPr>
              <w:spacing w:before="40" w:after="40"/>
              <w:jc w:val="left"/>
              <w:rPr>
                <w:rFonts w:hint="eastAsia" w:ascii="宋体" w:hAnsi="宋体" w:eastAsia="宋体" w:cs="宋体"/>
                <w:b w:val="0"/>
                <w:bCs w:val="0"/>
                <w:szCs w:val="21"/>
                <w:lang w:eastAsia="ja-JP"/>
              </w:rPr>
            </w:pPr>
            <w:r>
              <w:rPr>
                <w:rFonts w:hint="eastAsia" w:ascii="宋体" w:hAnsi="宋体" w:eastAsia="宋体" w:cs="宋体"/>
                <w:b w:val="0"/>
                <w:bCs w:val="0"/>
                <w:szCs w:val="21"/>
                <w:lang w:eastAsia="ja-JP"/>
              </w:rPr>
              <w:t xml:space="preserve">■GB/T19001-2016/ISO 9001:2015    </w:t>
            </w:r>
          </w:p>
          <w:p>
            <w:pPr>
              <w:spacing w:before="40" w:after="40"/>
              <w:jc w:val="left"/>
              <w:rPr>
                <w:rFonts w:hint="eastAsia" w:ascii="宋体" w:hAnsi="宋体" w:eastAsia="宋体" w:cs="宋体"/>
                <w:b w:val="0"/>
                <w:bCs w:val="0"/>
                <w:szCs w:val="21"/>
                <w:lang w:eastAsia="ja-JP"/>
              </w:rPr>
            </w:pPr>
            <w:r>
              <w:rPr>
                <w:rFonts w:hint="eastAsia" w:ascii="宋体" w:hAnsi="宋体" w:eastAsia="宋体" w:cs="宋体"/>
                <w:b w:val="0"/>
                <w:bCs w:val="0"/>
                <w:szCs w:val="21"/>
                <w:lang w:eastAsia="ja-JP"/>
              </w:rPr>
              <w:t xml:space="preserve">■GB/T24001-2016/ISO 14001:2015 </w:t>
            </w:r>
          </w:p>
          <w:p>
            <w:pPr>
              <w:spacing w:before="40" w:after="40"/>
              <w:jc w:val="left"/>
              <w:rPr>
                <w:lang w:eastAsia="ja-JP"/>
              </w:rPr>
            </w:pPr>
            <w:r>
              <w:rPr>
                <w:rFonts w:hint="eastAsia" w:ascii="宋体" w:hAnsi="宋体" w:eastAsia="宋体" w:cs="宋体"/>
                <w:b w:val="0"/>
                <w:bCs w:val="0"/>
                <w:szCs w:val="21"/>
                <w:lang w:eastAsia="ja-JP"/>
              </w:rPr>
              <w:t>■GB/T 45001-2020/ISO45001：2018</w:t>
            </w:r>
          </w:p>
        </w:tc>
        <w:tc>
          <w:tcPr>
            <w:tcW w:w="668" w:type="dxa"/>
            <w:shd w:val="clear" w:color="auto" w:fill="FFFFFF"/>
            <w:vAlign w:val="top"/>
          </w:tcPr>
          <w:sdt>
            <w:sdtPr>
              <w:rPr>
                <w:rFonts w:hint="eastAsia" w:ascii="宋体" w:hAnsi="宋体" w:eastAsia="宋体" w:cs="宋体"/>
                <w:b w:val="0"/>
                <w:bCs w:val="0"/>
                <w:szCs w:val="21"/>
              </w:rPr>
              <w:id w:val="271604670"/>
            </w:sdtPr>
            <w:sdtEndPr>
              <w:rPr>
                <w:rFonts w:hint="eastAsia" w:ascii="宋体" w:hAnsi="宋体" w:eastAsia="宋体" w:cs="宋体"/>
                <w:b w:val="0"/>
                <w:bCs w:val="0"/>
                <w:szCs w:val="21"/>
              </w:rPr>
            </w:sdtEndPr>
            <w:sdtContent>
              <w:p>
                <w:pPr>
                  <w:rPr>
                    <w:rFonts w:hint="eastAsia" w:ascii="宋体" w:hAnsi="宋体" w:eastAsia="宋体" w:cs="宋体"/>
                    <w:b w:val="0"/>
                    <w:bCs w:val="0"/>
                    <w:szCs w:val="21"/>
                  </w:rPr>
                </w:pPr>
                <w:r>
                  <w:rPr>
                    <w:rFonts w:hint="eastAsia" w:ascii="宋体" w:hAnsi="宋体" w:eastAsia="宋体" w:cs="宋体"/>
                    <w:b w:val="0"/>
                    <w:bCs w:val="0"/>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306" w:type="dxa"/>
            <w:vAlign w:val="center"/>
          </w:tcPr>
          <w:p>
            <w:pPr>
              <w:rPr>
                <w:lang w:eastAsia="ja-JP"/>
              </w:rPr>
            </w:pPr>
          </w:p>
        </w:tc>
        <w:tc>
          <w:tcPr>
            <w:tcW w:w="1750" w:type="dxa"/>
            <w:vAlign w:val="center"/>
          </w:tcPr>
          <w:p>
            <w:pPr>
              <w:rPr>
                <w:lang w:eastAsia="ja-JP"/>
              </w:rPr>
            </w:pPr>
          </w:p>
        </w:tc>
        <w:tc>
          <w:tcPr>
            <w:tcW w:w="460" w:type="dxa"/>
            <w:vAlign w:val="center"/>
          </w:tcPr>
          <w:p>
            <w:pPr>
              <w:rPr>
                <w:lang w:eastAsia="ja-JP"/>
              </w:rPr>
            </w:pPr>
          </w:p>
        </w:tc>
        <w:tc>
          <w:tcPr>
            <w:tcW w:w="2350" w:type="dxa"/>
            <w:vAlign w:val="center"/>
          </w:tcPr>
          <w:p>
            <w:pPr>
              <w:rPr>
                <w:lang w:eastAsia="ja-JP"/>
              </w:rPr>
            </w:pPr>
          </w:p>
        </w:tc>
        <w:tc>
          <w:tcPr>
            <w:tcW w:w="27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306" w:type="dxa"/>
            <w:vAlign w:val="center"/>
          </w:tcPr>
          <w:p>
            <w:pPr>
              <w:rPr>
                <w:lang w:eastAsia="ja-JP"/>
              </w:rPr>
            </w:pPr>
          </w:p>
        </w:tc>
        <w:tc>
          <w:tcPr>
            <w:tcW w:w="1750" w:type="dxa"/>
            <w:vAlign w:val="center"/>
          </w:tcPr>
          <w:p>
            <w:pPr>
              <w:rPr>
                <w:lang w:eastAsia="ja-JP"/>
              </w:rPr>
            </w:pPr>
          </w:p>
        </w:tc>
        <w:tc>
          <w:tcPr>
            <w:tcW w:w="460" w:type="dxa"/>
            <w:vAlign w:val="center"/>
          </w:tcPr>
          <w:p>
            <w:pPr>
              <w:rPr>
                <w:lang w:eastAsia="ja-JP"/>
              </w:rPr>
            </w:pPr>
          </w:p>
        </w:tc>
        <w:tc>
          <w:tcPr>
            <w:tcW w:w="2350" w:type="dxa"/>
            <w:vAlign w:val="center"/>
          </w:tcPr>
          <w:p>
            <w:pPr>
              <w:rPr>
                <w:lang w:eastAsia="ja-JP"/>
              </w:rPr>
            </w:pPr>
          </w:p>
        </w:tc>
        <w:tc>
          <w:tcPr>
            <w:tcW w:w="27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306" w:type="dxa"/>
            <w:vAlign w:val="center"/>
          </w:tcPr>
          <w:p>
            <w:pPr>
              <w:rPr>
                <w:lang w:eastAsia="ja-JP"/>
              </w:rPr>
            </w:pPr>
          </w:p>
        </w:tc>
        <w:tc>
          <w:tcPr>
            <w:tcW w:w="1750" w:type="dxa"/>
            <w:vAlign w:val="center"/>
          </w:tcPr>
          <w:p>
            <w:pPr>
              <w:rPr>
                <w:lang w:eastAsia="ja-JP"/>
              </w:rPr>
            </w:pPr>
          </w:p>
        </w:tc>
        <w:tc>
          <w:tcPr>
            <w:tcW w:w="460" w:type="dxa"/>
            <w:vAlign w:val="center"/>
          </w:tcPr>
          <w:p>
            <w:pPr>
              <w:rPr>
                <w:lang w:eastAsia="ja-JP"/>
              </w:rPr>
            </w:pPr>
          </w:p>
        </w:tc>
        <w:tc>
          <w:tcPr>
            <w:tcW w:w="2350" w:type="dxa"/>
            <w:vAlign w:val="center"/>
          </w:tcPr>
          <w:p>
            <w:pPr>
              <w:rPr>
                <w:lang w:eastAsia="ja-JP"/>
              </w:rPr>
            </w:pPr>
          </w:p>
        </w:tc>
        <w:tc>
          <w:tcPr>
            <w:tcW w:w="27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306" w:type="dxa"/>
            <w:vAlign w:val="center"/>
          </w:tcPr>
          <w:p>
            <w:pPr>
              <w:rPr>
                <w:lang w:eastAsia="ja-JP"/>
              </w:rPr>
            </w:pPr>
          </w:p>
        </w:tc>
        <w:tc>
          <w:tcPr>
            <w:tcW w:w="1750" w:type="dxa"/>
            <w:vAlign w:val="center"/>
          </w:tcPr>
          <w:p>
            <w:pPr>
              <w:rPr>
                <w:lang w:eastAsia="ja-JP"/>
              </w:rPr>
            </w:pPr>
          </w:p>
        </w:tc>
        <w:tc>
          <w:tcPr>
            <w:tcW w:w="460" w:type="dxa"/>
            <w:vAlign w:val="center"/>
          </w:tcPr>
          <w:p>
            <w:pPr>
              <w:rPr>
                <w:lang w:eastAsia="ja-JP"/>
              </w:rPr>
            </w:pPr>
          </w:p>
        </w:tc>
        <w:tc>
          <w:tcPr>
            <w:tcW w:w="2350" w:type="dxa"/>
            <w:vAlign w:val="center"/>
          </w:tcPr>
          <w:p>
            <w:pPr>
              <w:rPr>
                <w:lang w:eastAsia="ja-JP"/>
              </w:rPr>
            </w:pPr>
          </w:p>
        </w:tc>
        <w:tc>
          <w:tcPr>
            <w:tcW w:w="271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2019-N1QMS-2210533</w:t>
            </w:r>
          </w:p>
          <w:p>
            <w:r>
              <w:t>2021-N1EMS-1210533</w:t>
            </w:r>
          </w:p>
          <w:p>
            <w:r>
              <w:t>2021-N1OHSMS-1210533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张亮</w:t>
            </w:r>
          </w:p>
        </w:tc>
        <w:tc>
          <w:tcPr>
            <w:tcW w:w="1089" w:type="dxa"/>
            <w:vAlign w:val="center"/>
          </w:tcPr>
          <w:p>
            <w:r>
              <w:t>组员</w:t>
            </w:r>
          </w:p>
        </w:tc>
        <w:tc>
          <w:tcPr>
            <w:tcW w:w="711" w:type="dxa"/>
            <w:vAlign w:val="center"/>
          </w:tcPr>
          <w:p>
            <w:r>
              <w:t>男</w:t>
            </w:r>
          </w:p>
        </w:tc>
        <w:tc>
          <w:tcPr>
            <w:tcW w:w="3870" w:type="dxa"/>
            <w:vAlign w:val="center"/>
          </w:tcPr>
          <w:p>
            <w:r>
              <w:t>2021-N0QMS-1280463</w:t>
            </w:r>
          </w:p>
          <w:p>
            <w:r>
              <w:t>2021-N1EMS-1280463</w:t>
            </w:r>
          </w:p>
          <w:p>
            <w:r>
              <w:t>2021-N1OHSMS-1280463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朱剑锋</w:t>
            </w:r>
          </w:p>
        </w:tc>
        <w:tc>
          <w:tcPr>
            <w:tcW w:w="1089" w:type="dxa"/>
            <w:vAlign w:val="center"/>
          </w:tcPr>
          <w:p>
            <w:r>
              <w:t>组员</w:t>
            </w:r>
          </w:p>
        </w:tc>
        <w:tc>
          <w:tcPr>
            <w:tcW w:w="711" w:type="dxa"/>
            <w:vAlign w:val="center"/>
          </w:tcPr>
          <w:p>
            <w:r>
              <w:t>男</w:t>
            </w:r>
          </w:p>
        </w:tc>
        <w:tc>
          <w:tcPr>
            <w:tcW w:w="3870" w:type="dxa"/>
            <w:vAlign w:val="center"/>
          </w:tcPr>
          <w:p>
            <w:r>
              <w:t>ISC-JSZJ-519</w:t>
            </w:r>
          </w:p>
          <w:p>
            <w:r>
              <w:t>ISC-JSZJ-519</w:t>
            </w:r>
          </w:p>
          <w:p>
            <w:r>
              <w:t>ISC-JSZJ-519</w:t>
            </w:r>
          </w:p>
          <w:p>
            <w:r>
              <w:t>朔州金华实业有限公司</w:t>
            </w:r>
          </w:p>
        </w:tc>
        <w:tc>
          <w:tcPr>
            <w:tcW w:w="2179" w:type="dxa"/>
            <w:vAlign w:val="center"/>
          </w:tcPr>
          <w:p>
            <w:r>
              <w:t>Q:18.05.02,18.08.00</w:t>
            </w:r>
          </w:p>
          <w:p>
            <w:r>
              <w:t>E:18.05.02,18.08.00</w:t>
            </w:r>
          </w:p>
          <w:p>
            <w:r>
              <w:t>O:18.05.02,18.08.00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曾正</w:t>
            </w:r>
          </w:p>
        </w:tc>
        <w:tc>
          <w:tcPr>
            <w:tcW w:w="1089" w:type="dxa"/>
            <w:vAlign w:val="center"/>
          </w:tcPr>
          <w:p>
            <w:r>
              <w:t>组员</w:t>
            </w:r>
          </w:p>
        </w:tc>
        <w:tc>
          <w:tcPr>
            <w:tcW w:w="711" w:type="dxa"/>
            <w:vAlign w:val="center"/>
          </w:tcPr>
          <w:p>
            <w:r>
              <w:t>女</w:t>
            </w:r>
          </w:p>
        </w:tc>
        <w:tc>
          <w:tcPr>
            <w:tcW w:w="3870" w:type="dxa"/>
            <w:vAlign w:val="center"/>
          </w:tcPr>
          <w:p>
            <w:r>
              <w:t>2021-N0EMS-1208614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A3"/>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8"/>
                <w:szCs w:val="28"/>
                <w:lang w:eastAsia="zh-CN"/>
              </w:rPr>
              <w:drawing>
                <wp:anchor distT="0" distB="0" distL="114935" distR="114935" simplePos="0" relativeHeight="251662336" behindDoc="0" locked="0" layoutInCell="1" allowOverlap="1">
                  <wp:simplePos x="0" y="0"/>
                  <wp:positionH relativeFrom="column">
                    <wp:posOffset>245110</wp:posOffset>
                  </wp:positionH>
                  <wp:positionV relativeFrom="paragraph">
                    <wp:posOffset>11430</wp:posOffset>
                  </wp:positionV>
                  <wp:extent cx="1017905" cy="334645"/>
                  <wp:effectExtent l="0" t="0" r="10795" b="889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clrChange>
                              <a:clrFrom>
                                <a:srgbClr val="FFFFFF">
                                  <a:alpha val="100000"/>
                                </a:srgbClr>
                              </a:clrFrom>
                              <a:clrTo>
                                <a:srgbClr val="FFFFFF">
                                  <a:alpha val="100000"/>
                                  <a:alpha val="0"/>
                                </a:srgbClr>
                              </a:clrTo>
                            </a:clrChange>
                            <a:lum bright="-6000"/>
                          </a:blip>
                          <a:srcRect l="8579" t="1453" b="26163"/>
                          <a:stretch>
                            <a:fillRect/>
                          </a:stretch>
                        </pic:blipFill>
                        <pic:spPr>
                          <a:xfrm>
                            <a:off x="0" y="0"/>
                            <a:ext cx="1017905" cy="334645"/>
                          </a:xfrm>
                          <a:prstGeom prst="rect">
                            <a:avLst/>
                          </a:prstGeom>
                        </pic:spPr>
                      </pic:pic>
                    </a:graphicData>
                  </a:graphic>
                </wp:anchor>
              </w:drawing>
            </w:r>
            <w:r>
              <w:rPr>
                <w:rFonts w:hint="default" w:eastAsia="宋体"/>
                <w:b/>
                <w:sz w:val="20"/>
                <w:lang w:val="en-US" w:eastAsia="zh-CN"/>
              </w:rPr>
              <w:drawing>
                <wp:anchor distT="0" distB="0" distL="114300" distR="114300" simplePos="0" relativeHeight="251663360" behindDoc="0" locked="0" layoutInCell="1" allowOverlap="1">
                  <wp:simplePos x="0" y="0"/>
                  <wp:positionH relativeFrom="column">
                    <wp:posOffset>3756025</wp:posOffset>
                  </wp:positionH>
                  <wp:positionV relativeFrom="paragraph">
                    <wp:posOffset>38100</wp:posOffset>
                  </wp:positionV>
                  <wp:extent cx="1202690" cy="316865"/>
                  <wp:effectExtent l="0" t="0" r="0" b="635"/>
                  <wp:wrapNone/>
                  <wp:docPr id="3" name="图片 49" descr="2022.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9" descr="2022.4.6-7-9"/>
                          <pic:cNvPicPr>
                            <a:picLocks noChangeAspect="1"/>
                          </pic:cNvPicPr>
                        </pic:nvPicPr>
                        <pic:blipFill>
                          <a:blip r:embed="rId7">
                            <a:clrChange>
                              <a:clrFrom>
                                <a:srgbClr val="C0C1BC"/>
                              </a:clrFrom>
                              <a:clrTo>
                                <a:srgbClr val="C0C1BC">
                                  <a:alpha val="0"/>
                                </a:srgbClr>
                              </a:clrTo>
                            </a:clrChange>
                            <a:lum contrast="29999"/>
                          </a:blip>
                          <a:srcRect l="37392" t="44566" r="22305" b="47485"/>
                          <a:stretch>
                            <a:fillRect/>
                          </a:stretch>
                        </pic:blipFill>
                        <pic:spPr>
                          <a:xfrm>
                            <a:off x="0" y="0"/>
                            <a:ext cx="1202690" cy="31686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10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114"/>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shd w:val="clear" w:color="auto" w:fill="C7DAF1" w:themeFill="text2" w:themeFillTint="32"/>
          </w:tcPr>
          <w:p>
            <w:pPr>
              <w:shd w:val="clear" w:color="auto" w:fill="C7DAF1" w:themeFill="text2" w:themeFillTint="32"/>
            </w:pPr>
            <w:r>
              <w:rPr>
                <w:rFonts w:hint="eastAsia"/>
              </w:rPr>
              <w:t>审核周期</w:t>
            </w:r>
          </w:p>
        </w:tc>
        <w:tc>
          <w:tcPr>
            <w:tcW w:w="9617"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shd w:val="clear" w:color="auto" w:fill="C7DAF1" w:themeFill="text2" w:themeFillTint="32"/>
          </w:tcPr>
          <w:p>
            <w:pPr>
              <w:shd w:val="clear" w:color="auto" w:fill="C7DAF1" w:themeFill="text2" w:themeFillTint="32"/>
            </w:pPr>
            <w:r>
              <w:rPr>
                <w:rFonts w:hint="eastAsia"/>
              </w:rPr>
              <w:t>体系要素</w:t>
            </w:r>
          </w:p>
        </w:tc>
        <w:tc>
          <w:tcPr>
            <w:tcW w:w="961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114" w:type="dxa"/>
            <w:vMerge w:val="restart"/>
            <w:shd w:val="clear" w:color="auto" w:fill="C7DAF1" w:themeFill="text2" w:themeFillTint="32"/>
          </w:tcPr>
          <w:p>
            <w:pPr>
              <w:shd w:val="clear" w:color="auto" w:fill="C7DAF1" w:themeFill="text2" w:themeFillTint="32"/>
            </w:pPr>
            <w:r>
              <w:rPr>
                <w:rFonts w:hint="eastAsia"/>
              </w:rPr>
              <w:t>组织环境</w:t>
            </w:r>
          </w:p>
        </w:tc>
        <w:tc>
          <w:tcPr>
            <w:tcW w:w="961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A3"/>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rPr>
                <w:rFonts w:hint="eastAsia"/>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color w:val="000000"/>
                    </w:rPr>
                    <w:t>☑</w:t>
                  </w: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color w:val="000000"/>
                    </w:rPr>
                    <w:t>☑</w:t>
                  </w: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color w:val="000000"/>
                    </w:rPr>
                    <w:t>☑</w:t>
                  </w: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消费者</w:t>
                  </w:r>
                </w:p>
              </w:tc>
              <w:tc>
                <w:tcPr>
                  <w:tcW w:w="6912" w:type="dxa"/>
                </w:tcPr>
                <w:p>
                  <w:pPr>
                    <w:shd w:val="clear" w:color="auto" w:fill="C7DAF1" w:themeFill="text2" w:themeFillTint="32"/>
                  </w:pPr>
                  <w:r>
                    <w:rPr>
                      <w:rFonts w:hint="eastAsia"/>
                      <w:color w:val="000000"/>
                      <w:lang w:eastAsia="zh-CN"/>
                    </w:rPr>
                    <w:t>□</w:t>
                  </w: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color w:val="000000"/>
                    </w:rPr>
                    <w:t>☑</w:t>
                  </w: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投资方</w:t>
                  </w:r>
                </w:p>
              </w:tc>
              <w:tc>
                <w:tcPr>
                  <w:tcW w:w="6912" w:type="dxa"/>
                </w:tcPr>
                <w:p>
                  <w:pPr>
                    <w:shd w:val="clear" w:color="auto" w:fill="C7DAF1" w:themeFill="text2" w:themeFillTint="32"/>
                  </w:pPr>
                  <w:r>
                    <w:rPr>
                      <w:rFonts w:hint="eastAsia"/>
                      <w:color w:val="000000"/>
                      <w:lang w:eastAsia="zh-CN"/>
                    </w:rPr>
                    <w:t>□</w:t>
                  </w: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restart"/>
            <w:shd w:val="clear" w:color="auto" w:fill="C7DAF1" w:themeFill="text2" w:themeFillTint="32"/>
          </w:tcPr>
          <w:p>
            <w:pPr>
              <w:shd w:val="clear" w:color="auto" w:fill="C7DAF1" w:themeFill="text2" w:themeFillTint="32"/>
            </w:pPr>
            <w:r>
              <w:rPr>
                <w:rFonts w:hint="eastAsia"/>
              </w:rPr>
              <w:t>领导作用</w:t>
            </w:r>
          </w:p>
        </w:tc>
        <w:tc>
          <w:tcPr>
            <w:tcW w:w="961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质量方针：把握市场靠质量，客户满意靠真诚，持续改进靠管理</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管理层 综合办公室 供销部  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restart"/>
            <w:shd w:val="clear" w:color="auto" w:fill="C7DAF1" w:themeFill="text2" w:themeFillTint="32"/>
          </w:tcPr>
          <w:p>
            <w:pPr>
              <w:shd w:val="clear" w:color="auto" w:fill="C7DAF1" w:themeFill="text2" w:themeFillTint="32"/>
            </w:pPr>
            <w:r>
              <w:rPr>
                <w:rFonts w:hint="eastAsia"/>
              </w:rPr>
              <w:t>策划</w:t>
            </w:r>
          </w:p>
        </w:tc>
        <w:tc>
          <w:tcPr>
            <w:tcW w:w="9617"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客户对产品质量标准提高，材料要求环保材料，以及对供应周期和售后服务的期望值提升，给公司材料采购、生产、质量和售后管理提出新的要求</w:t>
                  </w:r>
                  <w:r>
                    <w:rPr>
                      <w:rFonts w:hint="eastAsia"/>
                      <w:lang w:eastAsia="zh-CN"/>
                    </w:rPr>
                    <w:t>。</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加强与客户进行质量标准制定的沟通，统一双方的标准和检测方法；生产部门做好生产计划的安排，保证生产计划的执行；销售部加大客户交流沟通，及时处理客户的需求和意见</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监管部门监管力度的加大，如公司执行不规范，可能存在被查处的风险</w:t>
                  </w:r>
                  <w:r>
                    <w:rPr>
                      <w:rFonts w:hint="eastAsia"/>
                      <w:lang w:eastAsia="zh-CN"/>
                    </w:rPr>
                    <w:t>。</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rPr>
                    <w:t>各级部门严格按照公司的规章制度开展相关工作</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bidi="ar-SA"/>
                    </w:rPr>
                    <w:t>原材料市场不稳定，希望签订的年度合同和保底价格，带来的采购和资金风险。</w:t>
                  </w:r>
                </w:p>
              </w:tc>
              <w:tc>
                <w:tcPr>
                  <w:tcW w:w="3965"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ascii="宋体" w:hAnsi="宋体" w:eastAsia="宋体" w:cs="宋体"/>
                      <w:color w:val="auto"/>
                      <w:sz w:val="21"/>
                      <w:szCs w:val="21"/>
                      <w:lang w:eastAsia="zh-CN" w:bidi="ar-SA"/>
                    </w:rPr>
                    <w:t>对公司影响较大的大宗原材料做好年度采购计划</w:t>
                  </w:r>
                  <w:r>
                    <w:rPr>
                      <w:rFonts w:hint="eastAsia" w:ascii="宋体" w:hAnsi="宋体" w:eastAsia="宋体" w:cs="宋体"/>
                      <w:color w:val="auto"/>
                      <w:szCs w:val="24"/>
                      <w:lang w:val="en-US" w:eastAsia="zh-CN"/>
                    </w:rPr>
                    <w:t>。</w:t>
                  </w:r>
                </w:p>
              </w:tc>
              <w:tc>
                <w:tcPr>
                  <w:tcW w:w="1717" w:type="dxa"/>
                  <w:vAlign w:val="top"/>
                </w:tcPr>
                <w:p>
                  <w:pPr>
                    <w:shd w:val="clear" w:color="auto" w:fill="C7DAF1"/>
                    <w:rPr>
                      <w:rFonts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1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目标</w:t>
                  </w:r>
                </w:p>
              </w:tc>
              <w:tc>
                <w:tcPr>
                  <w:tcW w:w="138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考核频次</w:t>
                  </w:r>
                </w:p>
              </w:tc>
              <w:tc>
                <w:tcPr>
                  <w:tcW w:w="3499"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计算方法</w:t>
                  </w:r>
                </w:p>
              </w:tc>
              <w:tc>
                <w:tcPr>
                  <w:tcW w:w="244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完成情况（审核周期）</w:t>
                  </w:r>
                </w:p>
              </w:tc>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eastAsia="zh-CN"/>
                    </w:rPr>
                    <w:t>顾客满意度90%以上</w:t>
                  </w:r>
                </w:p>
              </w:tc>
              <w:tc>
                <w:tcPr>
                  <w:tcW w:w="1387"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季度</w:t>
                  </w:r>
                </w:p>
              </w:tc>
              <w:tc>
                <w:tcPr>
                  <w:tcW w:w="3499" w:type="dxa"/>
                  <w:shd w:val="clear" w:color="auto" w:fill="auto"/>
                  <w:vAlign w:val="top"/>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rPr>
                    <w:t>顾客满意率=顾客满意总和 ÷顾客总数×100%。</w:t>
                  </w:r>
                </w:p>
              </w:tc>
              <w:tc>
                <w:tcPr>
                  <w:tcW w:w="2444" w:type="dxa"/>
                  <w:shd w:val="clear" w:color="auto" w:fill="auto"/>
                  <w:vAlign w:val="center"/>
                </w:tcPr>
                <w:p>
                  <w:pPr>
                    <w:spacing w:line="0" w:lineRule="atLeast"/>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98％</w:t>
                  </w:r>
                </w:p>
              </w:tc>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eastAsia="zh-CN"/>
                    </w:rPr>
                    <w:t>产品交付顾客验收合格率100%</w:t>
                  </w:r>
                </w:p>
              </w:tc>
              <w:tc>
                <w:tcPr>
                  <w:tcW w:w="1387"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eastAsia="zh-CN"/>
                    </w:rPr>
                    <w:t>季度</w:t>
                  </w:r>
                </w:p>
              </w:tc>
              <w:tc>
                <w:tcPr>
                  <w:tcW w:w="3499" w:type="dxa"/>
                  <w:shd w:val="clear" w:color="auto" w:fill="auto"/>
                  <w:vAlign w:val="top"/>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交付顾客</w:t>
                  </w:r>
                  <w:r>
                    <w:rPr>
                      <w:rFonts w:hint="eastAsia" w:ascii="宋体" w:hAnsi="宋体" w:eastAsia="宋体" w:cs="宋体"/>
                      <w:bCs/>
                      <w:color w:val="000000"/>
                      <w:szCs w:val="21"/>
                    </w:rPr>
                    <w:t>合格率=</w:t>
                  </w:r>
                  <w:r>
                    <w:rPr>
                      <w:rFonts w:hint="eastAsia" w:ascii="宋体" w:hAnsi="宋体" w:eastAsia="宋体" w:cs="宋体"/>
                      <w:bCs/>
                      <w:color w:val="000000"/>
                      <w:szCs w:val="21"/>
                      <w:lang w:val="en-US" w:eastAsia="zh-CN"/>
                    </w:rPr>
                    <w:t>交付顾客</w:t>
                  </w:r>
                  <w:r>
                    <w:rPr>
                      <w:rFonts w:hint="eastAsia" w:ascii="宋体" w:hAnsi="宋体" w:eastAsia="宋体" w:cs="宋体"/>
                      <w:bCs/>
                      <w:color w:val="000000"/>
                      <w:szCs w:val="21"/>
                    </w:rPr>
                    <w:t>产品合格数÷总</w:t>
                  </w:r>
                  <w:r>
                    <w:rPr>
                      <w:rFonts w:hint="eastAsia" w:ascii="宋体" w:hAnsi="宋体" w:eastAsia="宋体" w:cs="宋体"/>
                      <w:bCs/>
                      <w:color w:val="000000"/>
                      <w:szCs w:val="21"/>
                      <w:lang w:val="en-US" w:eastAsia="zh-CN"/>
                    </w:rPr>
                    <w:t>交付</w:t>
                  </w:r>
                  <w:r>
                    <w:rPr>
                      <w:rFonts w:hint="eastAsia" w:ascii="宋体" w:hAnsi="宋体" w:eastAsia="宋体" w:cs="宋体"/>
                      <w:bCs/>
                      <w:color w:val="000000"/>
                      <w:szCs w:val="21"/>
                    </w:rPr>
                    <w:t>产品总数×100%。</w:t>
                  </w:r>
                </w:p>
              </w:tc>
              <w:tc>
                <w:tcPr>
                  <w:tcW w:w="2444" w:type="dxa"/>
                  <w:shd w:val="clear" w:color="auto" w:fill="auto"/>
                  <w:vAlign w:val="center"/>
                </w:tcPr>
                <w:p>
                  <w:pPr>
                    <w:spacing w:line="0" w:lineRule="atLeast"/>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100％</w:t>
                  </w:r>
                </w:p>
              </w:tc>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14" w:type="dxa"/>
            <w:vMerge w:val="restart"/>
            <w:shd w:val="clear" w:color="auto" w:fill="C7DAF1" w:themeFill="text2" w:themeFillTint="32"/>
          </w:tcPr>
          <w:p>
            <w:pPr>
              <w:shd w:val="clear" w:color="auto" w:fill="C7DAF1" w:themeFill="text2" w:themeFillTint="32"/>
            </w:pPr>
            <w:r>
              <w:rPr>
                <w:rFonts w:hint="eastAsia"/>
              </w:rPr>
              <w:t>支持</w:t>
            </w:r>
          </w:p>
        </w:tc>
        <w:tc>
          <w:tcPr>
            <w:tcW w:w="961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lang w:val="en-US" w:eastAsia="zh-CN"/>
              </w:rPr>
              <w:t>3000余</w:t>
            </w:r>
            <w:r>
              <w:rPr>
                <w:rFonts w:hint="eastAsia"/>
                <w:highlight w:val="none"/>
              </w:rPr>
              <w:t>平方米；生产车间</w:t>
            </w:r>
            <w:r>
              <w:rPr>
                <w:rFonts w:hint="eastAsia"/>
                <w:highlight w:val="none"/>
                <w:lang w:val="en-US" w:eastAsia="zh-CN"/>
              </w:rPr>
              <w:t>2</w:t>
            </w:r>
            <w:r>
              <w:rPr>
                <w:rFonts w:hint="eastAsia"/>
                <w:highlight w:val="none"/>
              </w:rPr>
              <w:t>个；库房</w:t>
            </w:r>
            <w:r>
              <w:rPr>
                <w:rFonts w:hint="eastAsia"/>
                <w:highlight w:val="none"/>
                <w:lang w:val="en-US" w:eastAsia="zh-CN"/>
              </w:rPr>
              <w:t>1</w:t>
            </w:r>
            <w:r>
              <w:rPr>
                <w:rFonts w:hint="eastAsia"/>
                <w:highlight w:val="none"/>
              </w:rPr>
              <w:t>个；实验室</w:t>
            </w:r>
            <w:r>
              <w:rPr>
                <w:rFonts w:hint="eastAsia"/>
                <w:highlight w:val="none"/>
                <w:lang w:val="en-US" w:eastAsia="zh-CN"/>
              </w:rPr>
              <w:t>1</w:t>
            </w:r>
            <w:r>
              <w:rPr>
                <w:rFonts w:hint="eastAsia"/>
                <w:highlight w:val="none"/>
              </w:rPr>
              <w:t>个；</w:t>
            </w:r>
          </w:p>
          <w:p>
            <w:pPr>
              <w:shd w:val="clear" w:color="auto" w:fill="C7DAF1" w:themeFill="text2" w:themeFillTint="32"/>
              <w:rPr>
                <w:rFonts w:hint="eastAsia"/>
                <w:u w:val="single"/>
              </w:rPr>
            </w:pPr>
            <w:r>
              <w:rPr>
                <w:rFonts w:hint="eastAsia"/>
              </w:rPr>
              <w:t>主要生产设备有：</w:t>
            </w:r>
            <w:r>
              <w:rPr>
                <w:rFonts w:hint="eastAsia"/>
                <w:u w:val="single"/>
              </w:rPr>
              <w:t>生产设备，主要有数控全自动卧式带锯床、钢管双头自动车孔机床、钢管自动切断倒角机床、送丝装置、托辊压装机、托辊轴两端铣槽扁机床、托辊轴双端车卡簧槽机床、铣端面钻中心孔机床、晶闸管控制MIG及MAG弧焊电源、双头CO2气体保护自动焊接机床、托辊自动喷漆机等；</w:t>
            </w:r>
          </w:p>
          <w:p>
            <w:pPr>
              <w:shd w:val="clear" w:color="auto" w:fill="C7DAF1" w:themeFill="text2" w:themeFillTint="32"/>
              <w:rPr>
                <w:u w:val="single"/>
              </w:rPr>
            </w:pPr>
            <w:r>
              <w:rPr>
                <w:rFonts w:hint="eastAsia"/>
                <w:u w:val="single"/>
              </w:rPr>
              <w:t>维修设备有大立柱拆柱机、乳化液泵、四柱式液压机、车床、钻铣一体机、电焊机等；</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rPr>
              <w:t>旋转阻力试验台</w:t>
            </w:r>
            <w:r>
              <w:rPr>
                <w:rFonts w:hint="eastAsia"/>
                <w:u w:val="single"/>
                <w:lang w:eastAsia="zh-CN"/>
              </w:rPr>
              <w:t>、轴向载荷试验台、千分尺、卡尺、电子台秤</w:t>
            </w:r>
            <w:r>
              <w:rPr>
                <w:rFonts w:hint="eastAsia"/>
                <w:u w:val="single"/>
                <w:lang w:val="en-US" w:eastAsia="zh-CN"/>
              </w:rPr>
              <w:t>等</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pPr>
            <w:r>
              <w:t>组织</w:t>
            </w:r>
            <w:r>
              <w:rPr>
                <w:rFonts w:hint="eastAsia"/>
              </w:rPr>
              <w:t>已</w:t>
            </w:r>
            <w:r>
              <w:t>确定所需的知识，以运行过程并获得合格产品和服务</w:t>
            </w:r>
          </w:p>
          <w:p>
            <w:pPr>
              <w:shd w:val="clear" w:color="auto" w:fill="C7DAF1"/>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pPr>
            <w:r>
              <w:rPr>
                <w:rFonts w:hint="eastAsia"/>
              </w:rPr>
              <w:t>组织已确定在其控制的工作人员所需具备的能力，并采取措施以获得所需的能力，并评价措施的有效性；</w:t>
            </w:r>
          </w:p>
          <w:p>
            <w:pPr>
              <w:shd w:val="clear" w:color="auto" w:fill="C7DAF1"/>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pPr>
            <w:r>
              <w:rPr>
                <w:rFonts w:hint="eastAsia"/>
              </w:rPr>
              <w:t>对国家规定持证上岗的人员资质进行了有效的管理。</w:t>
            </w:r>
          </w:p>
          <w:p>
            <w:pPr>
              <w:shd w:val="clear" w:color="auto" w:fill="C7DAF1"/>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组织已确定与质量管理体系相关的内部和外部沟通。</w:t>
            </w:r>
          </w:p>
          <w:p>
            <w:pPr>
              <w:shd w:val="clear" w:color="auto" w:fill="C7DAF1"/>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pPr>
            <w:r>
              <w:rPr>
                <w:rFonts w:hint="eastAsia"/>
              </w:rPr>
              <w:t>对质量相关的外来文件（法律法规、产品标准）进行了识别和贯彻。</w:t>
            </w:r>
          </w:p>
          <w:p>
            <w:pPr>
              <w:shd w:val="clear" w:color="auto" w:fill="C7DAF1"/>
            </w:pPr>
            <w:r>
              <w:rPr>
                <w:rFonts w:hint="eastAsia"/>
              </w:rPr>
              <w:sym w:font="Wingdings 2" w:char="0052"/>
            </w:r>
            <w:r>
              <w:rPr>
                <w:rFonts w:hint="eastAsia"/>
              </w:rPr>
              <w:t>法律法规获取充分，□法律法规获取有遗漏，缺少：</w:t>
            </w:r>
          </w:p>
          <w:p>
            <w:pPr>
              <w:shd w:val="clear" w:color="auto" w:fill="C7DAF1"/>
            </w:pPr>
          </w:p>
          <w:p>
            <w:pPr>
              <w:shd w:val="clear" w:color="auto" w:fill="C7DAF1"/>
            </w:pPr>
            <w:r>
              <w:rPr>
                <w:rFonts w:hint="eastAsia"/>
              </w:rPr>
              <w:t>对QMS和产品相关的运行记录进行了保留、储存、保护、检索查询、处置等管理。</w:t>
            </w:r>
          </w:p>
          <w:p>
            <w:pPr>
              <w:shd w:val="clear" w:color="auto" w:fill="C7DAF1"/>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restart"/>
            <w:shd w:val="clear" w:color="auto" w:fill="C7DAF1" w:themeFill="text2" w:themeFillTint="32"/>
          </w:tcPr>
          <w:p>
            <w:pPr>
              <w:shd w:val="clear" w:color="auto" w:fill="C7DAF1" w:themeFill="text2" w:themeFillTint="32"/>
            </w:pPr>
            <w:r>
              <w:rPr>
                <w:rFonts w:hint="eastAsia"/>
              </w:rPr>
              <w:t>运行</w:t>
            </w:r>
          </w:p>
        </w:tc>
        <w:tc>
          <w:tcPr>
            <w:tcW w:w="9617" w:type="dxa"/>
            <w:shd w:val="clear" w:color="auto" w:fill="C7DAF1" w:themeFill="text2" w:themeFillTint="32"/>
            <w:vAlign w:val="top"/>
          </w:tcPr>
          <w:p>
            <w:pPr>
              <w:shd w:val="clear" w:color="auto" w:fill="C7DAF1"/>
            </w:pPr>
            <w:r>
              <w:rPr>
                <w:rFonts w:hint="eastAsia"/>
              </w:rPr>
              <w:t>组织为对产品和服务提供满足的要求，已对产品和服务提供的过程（见4.4）进行策划、实施和控制。策划文件包括：</w:t>
            </w:r>
          </w:p>
          <w:p>
            <w:pPr>
              <w:shd w:val="clear" w:color="auto" w:fill="C7DAF1"/>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组织建立并实施了与顾客沟通；如产品和服务的信息、顾客投诉、顾客财产、应急措施等。</w:t>
            </w:r>
          </w:p>
          <w:p>
            <w:pPr>
              <w:shd w:val="clear" w:color="auto" w:fill="C7DAF1"/>
            </w:pPr>
            <w:r>
              <w:rPr>
                <w:rFonts w:hint="eastAsia"/>
              </w:rPr>
              <w:t>组织对产品和服务要求进行了评审，确保有能力向顾客提供满足要求的产品和服务。</w:t>
            </w:r>
          </w:p>
          <w:p>
            <w:pPr>
              <w:shd w:val="clear" w:color="auto" w:fill="C7DAF1"/>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组织建立、实施和保持了适当的设计和开发过程，以确保后续的产品和服务的提供。（适用时）</w:t>
            </w:r>
          </w:p>
          <w:p>
            <w:pPr>
              <w:shd w:val="clear" w:color="auto" w:fill="C7DAF1"/>
            </w:pPr>
            <w:r>
              <w:rPr>
                <w:rFonts w:hint="eastAsia"/>
              </w:rPr>
              <w:t>审核期间内设计和开发新产品/项目名称：</w:t>
            </w:r>
            <w:r>
              <w:rPr>
                <w:rFonts w:hint="eastAsia"/>
                <w:u w:val="single"/>
              </w:rPr>
              <w:t>（</w:t>
            </w:r>
            <w:r>
              <w:rPr>
                <w:rFonts w:hint="eastAsia"/>
              </w:rPr>
              <w:t>举1例）</w:t>
            </w:r>
          </w:p>
          <w:p>
            <w:pPr>
              <w:shd w:val="clear" w:color="auto" w:fill="C7DAF1"/>
            </w:pPr>
            <w:r>
              <w:rPr>
                <w:rFonts w:hint="eastAsia"/>
              </w:rPr>
              <w:t>该项目的设计和开发的输入、输出、变更进行了控制。</w:t>
            </w:r>
          </w:p>
          <w:p>
            <w:pPr>
              <w:shd w:val="clear" w:color="auto" w:fill="C7DAF1"/>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jc w:val="left"/>
            </w:pPr>
            <w:r>
              <w:rPr>
                <w:rFonts w:hint="eastAsia"/>
              </w:rPr>
              <w:t>组织对外部提供的过程、产品和服务的供方按照对产品/服务质量的类型和程度实施控制。</w:t>
            </w:r>
          </w:p>
          <w:p>
            <w:pPr>
              <w:shd w:val="clear" w:color="auto" w:fill="C7DAF1"/>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托辊生产</w:t>
                  </w:r>
                </w:p>
              </w:tc>
              <w:tc>
                <w:tcPr>
                  <w:tcW w:w="3665" w:type="dxa"/>
                </w:tcPr>
                <w:p>
                  <w:pPr>
                    <w:shd w:val="clear" w:color="auto" w:fill="C7DAF1" w:themeFill="text2" w:themeFillTint="32"/>
                    <w:jc w:val="left"/>
                    <w:rPr>
                      <w:u w:val="none"/>
                    </w:rPr>
                  </w:pPr>
                  <w:r>
                    <w:rPr>
                      <w:rFonts w:hint="eastAsia"/>
                      <w:color w:val="000000"/>
                      <w:u w:val="none"/>
                    </w:rPr>
                    <w:t>机加工</w:t>
                  </w:r>
                </w:p>
              </w:tc>
              <w:tc>
                <w:tcPr>
                  <w:tcW w:w="3265" w:type="dxa"/>
                </w:tcPr>
                <w:p>
                  <w:pPr>
                    <w:shd w:val="clear" w:color="auto" w:fill="C7DAF1" w:themeFill="text2" w:themeFillTint="32"/>
                    <w:jc w:val="left"/>
                    <w:rPr>
                      <w:u w:val="none"/>
                    </w:rPr>
                  </w:pPr>
                  <w:r>
                    <w:rPr>
                      <w:rFonts w:hint="eastAsia"/>
                      <w:color w:val="000000"/>
                      <w:u w:val="none"/>
                    </w:rPr>
                    <w:t>机加工尺寸偏差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托辊生产及维修</w:t>
                  </w:r>
                </w:p>
              </w:tc>
              <w:tc>
                <w:tcPr>
                  <w:tcW w:w="3665" w:type="dxa"/>
                </w:tcPr>
                <w:p>
                  <w:pPr>
                    <w:rPr>
                      <w:u w:val="none"/>
                    </w:rPr>
                  </w:pPr>
                  <w:r>
                    <w:rPr>
                      <w:rFonts w:hint="eastAsia"/>
                      <w:color w:val="000000"/>
                      <w:u w:val="none"/>
                    </w:rPr>
                    <w:t>焊接</w:t>
                  </w:r>
                </w:p>
              </w:tc>
              <w:tc>
                <w:tcPr>
                  <w:tcW w:w="3265" w:type="dxa"/>
                </w:tcPr>
                <w:p>
                  <w:pPr>
                    <w:shd w:val="clear" w:color="auto" w:fill="C7DAF1" w:themeFill="text2" w:themeFillTint="32"/>
                    <w:jc w:val="left"/>
                    <w:rPr>
                      <w:u w:val="none"/>
                    </w:rPr>
                  </w:pPr>
                  <w:r>
                    <w:rPr>
                      <w:rFonts w:hint="eastAsia"/>
                      <w:color w:val="000000"/>
                      <w:u w:val="none"/>
                    </w:rPr>
                    <w:t>（电流；电压；焊丝直径、焊接外观等）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lang w:val="en-US" w:eastAsia="zh-CN"/>
                    </w:rPr>
                    <w:t>托辊生产及维修</w:t>
                  </w:r>
                </w:p>
              </w:tc>
              <w:tc>
                <w:tcPr>
                  <w:tcW w:w="3665" w:type="dxa"/>
                </w:tcPr>
                <w:p>
                  <w:pPr>
                    <w:rPr>
                      <w:color w:val="000000"/>
                      <w:u w:val="none"/>
                    </w:rPr>
                  </w:pPr>
                  <w:r>
                    <w:rPr>
                      <w:rFonts w:hint="eastAsia"/>
                      <w:color w:val="000000"/>
                      <w:u w:val="none"/>
                    </w:rPr>
                    <w:t>喷漆</w:t>
                  </w:r>
                </w:p>
                <w:p>
                  <w:pPr>
                    <w:shd w:val="clear" w:color="auto" w:fill="C7DAF1" w:themeFill="text2" w:themeFillTint="32"/>
                    <w:jc w:val="left"/>
                    <w:rPr>
                      <w:u w:val="none"/>
                    </w:rPr>
                  </w:pPr>
                </w:p>
              </w:tc>
              <w:tc>
                <w:tcPr>
                  <w:tcW w:w="3265" w:type="dxa"/>
                </w:tcPr>
                <w:p>
                  <w:pPr>
                    <w:shd w:val="clear" w:color="auto" w:fill="C7DAF1" w:themeFill="text2" w:themeFillTint="32"/>
                    <w:jc w:val="left"/>
                    <w:rPr>
                      <w:u w:val="none"/>
                    </w:rPr>
                  </w:pPr>
                  <w:r>
                    <w:rPr>
                      <w:rFonts w:hint="eastAsia"/>
                      <w:color w:val="000000"/>
                      <w:u w:val="none"/>
                    </w:rPr>
                    <w:t>（压力；频率；晾干时间；喷漆外观等）。</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jc w:val="left"/>
            </w:pPr>
            <w:r>
              <w:rPr>
                <w:rFonts w:hint="eastAsia"/>
              </w:rPr>
              <w:t>组织在生产和服务提供的整个过程中对产品和监视和测量状态进行标识和追溯。</w:t>
            </w:r>
          </w:p>
          <w:p>
            <w:pPr>
              <w:shd w:val="clear" w:color="auto" w:fill="C7DAF1"/>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组织爱护在组织控制下或使用顾客或外部供方的财产。</w:t>
            </w:r>
          </w:p>
          <w:p>
            <w:pPr>
              <w:shd w:val="clear" w:color="auto" w:fill="C7DAF1"/>
            </w:pPr>
            <w:r>
              <w:rPr>
                <w:rFonts w:hint="eastAsia"/>
              </w:rPr>
              <w:t>目前的顾客或外部供方财产包括：</w:t>
            </w:r>
          </w:p>
          <w:p>
            <w:pPr>
              <w:shd w:val="clear" w:color="auto" w:fill="C7DAF1"/>
            </w:pPr>
            <w:r>
              <w:rPr>
                <w:rFonts w:hint="eastAsia" w:ascii="Wingdings" w:hAnsi="Wingdings"/>
                <w:lang w:eastAsia="zh-CN"/>
              </w:rPr>
              <w:sym w:font="Wingdings 2" w:char="00A3"/>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sym w:font="Wingdings 2" w:char="00A3"/>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组织应在生产和服务提供期间对输出进行必要防护，以确保符合要求。</w:t>
            </w:r>
          </w:p>
          <w:p>
            <w:pPr>
              <w:shd w:val="clear" w:color="auto" w:fill="C7DAF1"/>
            </w:pPr>
            <w:r>
              <w:rPr>
                <w:rFonts w:hint="eastAsia"/>
              </w:rPr>
              <w:t>可包括标识、处置、污染控制、包装、储存、传输或运输以及保护。</w:t>
            </w:r>
          </w:p>
          <w:p>
            <w:pPr>
              <w:shd w:val="clear" w:color="auto" w:fill="C7DAF1"/>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组织应满足与产品和服务相关的交付后活动的要求。</w:t>
            </w:r>
          </w:p>
          <w:p>
            <w:pPr>
              <w:shd w:val="clear" w:color="auto" w:fill="C7DAF1"/>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组织对生产和服务提供的更改进行必要的评审和控制，以确保持续地符合要求。</w:t>
            </w:r>
          </w:p>
          <w:p>
            <w:pPr>
              <w:shd w:val="clear" w:color="auto" w:fill="C7DAF1"/>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组织在适当阶段实施策划的安排，以验证产品和服务的要求已得到满足。</w:t>
            </w:r>
          </w:p>
          <w:p>
            <w:pPr>
              <w:shd w:val="clear" w:color="auto" w:fill="C7DAF1"/>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pPr>
            <w:r>
              <w:rPr>
                <w:rFonts w:hint="eastAsia"/>
              </w:rPr>
              <w:t>《型式检验报告》，如：。</w:t>
            </w:r>
          </w:p>
          <w:p>
            <w:pPr>
              <w:shd w:val="clear" w:color="auto" w:fill="C7DAF1"/>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vAlign w:val="top"/>
          </w:tcPr>
          <w:p>
            <w:pPr>
              <w:shd w:val="clear" w:color="auto" w:fill="C7DAF1"/>
            </w:pPr>
            <w:r>
              <w:rPr>
                <w:rFonts w:hint="eastAsia"/>
              </w:rPr>
              <w:t>组织确保对不符合要求的输出进行识别和控制，以防止非预期的使用或交付。</w:t>
            </w:r>
          </w:p>
          <w:p>
            <w:pPr>
              <w:shd w:val="clear" w:color="auto" w:fill="C7DAF1"/>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restart"/>
            <w:shd w:val="clear" w:color="auto" w:fill="C7DAF1" w:themeFill="text2" w:themeFillTint="32"/>
          </w:tcPr>
          <w:p>
            <w:pPr>
              <w:shd w:val="clear" w:color="auto" w:fill="C7DAF1" w:themeFill="text2" w:themeFillTint="32"/>
            </w:pPr>
            <w:r>
              <w:rPr>
                <w:rFonts w:hint="eastAsia"/>
              </w:rPr>
              <w:t>绩效评价</w:t>
            </w:r>
          </w:p>
        </w:tc>
        <w:tc>
          <w:tcPr>
            <w:tcW w:w="961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通过年度策划于2022年01月14日~01月15日实施了质量管理体系内部审核，对质量管理体系的符合性和有效性进行了审核。内审发现的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rPr>
              <w:t>2022年01月29日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restart"/>
            <w:shd w:val="clear" w:color="auto" w:fill="C7DAF1" w:themeFill="text2" w:themeFillTint="32"/>
          </w:tcPr>
          <w:p>
            <w:pPr>
              <w:shd w:val="clear" w:color="auto" w:fill="C7DAF1" w:themeFill="text2" w:themeFillTint="32"/>
            </w:pPr>
            <w:r>
              <w:rPr>
                <w:rFonts w:hint="eastAsia"/>
              </w:rPr>
              <w:t>改进</w:t>
            </w:r>
          </w:p>
        </w:tc>
        <w:tc>
          <w:tcPr>
            <w:tcW w:w="961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114" w:type="dxa"/>
            <w:vMerge w:val="continue"/>
            <w:shd w:val="clear" w:color="auto" w:fill="C7DAF1" w:themeFill="text2" w:themeFillTint="32"/>
          </w:tcPr>
          <w:p>
            <w:pPr>
              <w:shd w:val="clear" w:color="auto" w:fill="C7DAF1" w:themeFill="text2" w:themeFillTint="32"/>
            </w:pPr>
          </w:p>
        </w:tc>
        <w:tc>
          <w:tcPr>
            <w:tcW w:w="9617"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081"/>
        <w:gridCol w:w="8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shd w:val="clear" w:color="auto" w:fill="EBF1DE" w:themeFill="accent3" w:themeFillTint="32"/>
          </w:tcPr>
          <w:p>
            <w:pPr>
              <w:shd w:val="clear" w:color="auto" w:fill="EBF1DE" w:themeFill="accent3" w:themeFillTint="32"/>
            </w:pPr>
            <w:r>
              <w:rPr>
                <w:rFonts w:hint="eastAsia"/>
              </w:rPr>
              <w:t>审核周期</w:t>
            </w:r>
          </w:p>
        </w:tc>
        <w:tc>
          <w:tcPr>
            <w:tcW w:w="8881"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shd w:val="clear" w:color="auto" w:fill="EBF1DE" w:themeFill="accent3" w:themeFillTint="32"/>
          </w:tcPr>
          <w:p>
            <w:pPr>
              <w:shd w:val="clear" w:color="auto" w:fill="EBF1DE" w:themeFill="accent3" w:themeFillTint="32"/>
            </w:pPr>
            <w:r>
              <w:rPr>
                <w:rFonts w:hint="eastAsia"/>
              </w:rPr>
              <w:t>体系要素</w:t>
            </w:r>
          </w:p>
        </w:tc>
        <w:tc>
          <w:tcPr>
            <w:tcW w:w="8881"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081" w:type="dxa"/>
            <w:vMerge w:val="restart"/>
            <w:shd w:val="clear" w:color="auto" w:fill="EBF1DE" w:themeFill="accent3" w:themeFillTint="32"/>
          </w:tcPr>
          <w:p>
            <w:pPr>
              <w:shd w:val="clear" w:color="auto" w:fill="EBF1DE" w:themeFill="accent3" w:themeFillTint="32"/>
            </w:pPr>
            <w:r>
              <w:rPr>
                <w:rFonts w:hint="eastAsia"/>
              </w:rPr>
              <w:t>组织环境</w:t>
            </w:r>
          </w:p>
        </w:tc>
        <w:tc>
          <w:tcPr>
            <w:tcW w:w="8881"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rPr>
                      <w:highlight w:val="cyan"/>
                    </w:rPr>
                  </w:pPr>
                  <w:r>
                    <w:rPr>
                      <w:rFonts w:hint="eastAsia"/>
                    </w:rPr>
                    <w:t>重要的相关方</w:t>
                  </w:r>
                </w:p>
              </w:tc>
              <w:tc>
                <w:tcPr>
                  <w:tcW w:w="6912" w:type="dxa"/>
                  <w:vAlign w:val="top"/>
                </w:tcPr>
                <w:p>
                  <w:pPr>
                    <w:shd w:val="clear" w:color="auto" w:fill="EBF1DE"/>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主管部门</w:t>
                  </w:r>
                </w:p>
              </w:tc>
              <w:tc>
                <w:tcPr>
                  <w:tcW w:w="6912" w:type="dxa"/>
                  <w:vAlign w:val="top"/>
                </w:tcPr>
                <w:p>
                  <w:pPr>
                    <w:shd w:val="clear" w:color="auto" w:fill="EBF1DE"/>
                  </w:pPr>
                  <w:r>
                    <w:rPr>
                      <w:rFonts w:hint="eastAsia"/>
                    </w:rPr>
                    <w:sym w:font="Wingdings 2" w:char="0052"/>
                  </w:r>
                  <w:r>
                    <w:rPr>
                      <w:rFonts w:hint="eastAsia"/>
                    </w:rPr>
                    <w:t>遵守环境相关的法律法规、</w:t>
                  </w:r>
                  <w:r>
                    <w:rPr>
                      <w:rFonts w:hint="eastAsia"/>
                    </w:rPr>
                    <w:sym w:font="Wingdings 2" w:char="0052"/>
                  </w:r>
                  <w:r>
                    <w:rPr>
                      <w:rFonts w:hint="eastAsia"/>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供方</w:t>
                  </w:r>
                </w:p>
              </w:tc>
              <w:tc>
                <w:tcPr>
                  <w:tcW w:w="6912" w:type="dxa"/>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EBF1DE"/>
                  </w:pPr>
                  <w:r>
                    <w:rPr>
                      <w:rFonts w:hint="eastAsia"/>
                    </w:rPr>
                    <w:sym w:font="Wingdings 2" w:char="0052"/>
                  </w:r>
                  <w:r>
                    <w:rPr>
                      <w:rFonts w:hint="eastAsia"/>
                    </w:rPr>
                    <w:t>顾客</w:t>
                  </w:r>
                </w:p>
              </w:tc>
              <w:tc>
                <w:tcPr>
                  <w:tcW w:w="6912" w:type="dxa"/>
                  <w:vAlign w:val="top"/>
                </w:tcPr>
                <w:p>
                  <w:pPr>
                    <w:shd w:val="clear" w:color="auto" w:fill="EBF1DE"/>
                  </w:pPr>
                  <w:r>
                    <w:rPr>
                      <w:rFonts w:hint="eastAsia"/>
                    </w:rPr>
                    <w:sym w:font="Wingdings 2" w:char="0052"/>
                  </w:r>
                  <w:r>
                    <w:rPr>
                      <w:rFonts w:hint="eastAsia"/>
                    </w:rPr>
                    <w:t>持续经营，不因环境违规停产；</w:t>
                  </w:r>
                  <w:r>
                    <w:rPr>
                      <w:rFonts w:hint="eastAsia"/>
                    </w:rPr>
                    <w:sym w:font="Wingdings 2" w:char="0052"/>
                  </w:r>
                  <w:r>
                    <w:rPr>
                      <w:rFonts w:hint="eastAsia"/>
                    </w:rPr>
                    <w:t>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社区</w:t>
                  </w:r>
                </w:p>
              </w:tc>
              <w:tc>
                <w:tcPr>
                  <w:tcW w:w="6912" w:type="dxa"/>
                  <w:vAlign w:val="top"/>
                </w:tcPr>
                <w:p>
                  <w:pPr>
                    <w:shd w:val="clear" w:color="auto" w:fill="EBF1DE"/>
                  </w:pPr>
                  <w:r>
                    <w:rPr>
                      <w:rFonts w:hint="eastAsia"/>
                    </w:rPr>
                    <w:sym w:font="Wingdings 2" w:char="0052"/>
                  </w:r>
                  <w:r>
                    <w:rPr>
                      <w:rFonts w:hint="eastAsia"/>
                    </w:rPr>
                    <w:t>遵守环境相关的法律法规、达标排放；</w:t>
                  </w:r>
                  <w:r>
                    <w:rPr>
                      <w:rFonts w:hint="eastAsia"/>
                    </w:rPr>
                    <w:sym w:font="Wingdings 2" w:char="0052"/>
                  </w:r>
                  <w:r>
                    <w:rPr>
                      <w:rFonts w:hint="eastAsia"/>
                    </w:rPr>
                    <w:t>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员工</w:t>
                  </w:r>
                </w:p>
              </w:tc>
              <w:tc>
                <w:tcPr>
                  <w:tcW w:w="6912" w:type="dxa"/>
                  <w:vAlign w:val="top"/>
                </w:tcPr>
                <w:p>
                  <w:pPr>
                    <w:shd w:val="clear" w:color="auto" w:fill="EBF1DE"/>
                  </w:pPr>
                  <w:r>
                    <w:rPr>
                      <w:rFonts w:hint="eastAsia"/>
                    </w:rPr>
                    <w:sym w:font="Wingdings 2" w:char="0052"/>
                  </w:r>
                  <w:r>
                    <w:rPr>
                      <w:rFonts w:hint="eastAsia"/>
                    </w:rPr>
                    <w:t>组织的持续经营、</w:t>
                  </w:r>
                  <w:r>
                    <w:rPr>
                      <w:rFonts w:hint="eastAsia"/>
                    </w:rPr>
                    <w:sym w:font="Wingdings 2" w:char="0052"/>
                  </w:r>
                  <w:r>
                    <w:rPr>
                      <w:rFonts w:hint="eastAsia"/>
                    </w:rPr>
                    <w:t>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sym w:font="Wingdings 2" w:char="0052"/>
                  </w:r>
                  <w:r>
                    <w:rPr>
                      <w:rFonts w:hint="eastAsia"/>
                    </w:rPr>
                    <w:t>投资方</w:t>
                  </w:r>
                </w:p>
              </w:tc>
              <w:tc>
                <w:tcPr>
                  <w:tcW w:w="6912" w:type="dxa"/>
                  <w:vAlign w:val="top"/>
                </w:tcPr>
                <w:p>
                  <w:pPr>
                    <w:shd w:val="clear" w:color="auto" w:fill="EBF1DE"/>
                  </w:pPr>
                  <w:r>
                    <w:rPr>
                      <w:rFonts w:hint="eastAsia"/>
                    </w:rPr>
                    <w:sym w:font="Wingdings 2" w:char="0052"/>
                  </w:r>
                  <w:r>
                    <w:rPr>
                      <w:rFonts w:hint="eastAsia"/>
                    </w:rPr>
                    <w:t>组织的持续经营、盈利；</w:t>
                  </w:r>
                  <w:r>
                    <w:rPr>
                      <w:rFonts w:hint="eastAsia"/>
                    </w:rPr>
                    <w:sym w:font="Wingdings 2" w:char="0052"/>
                  </w:r>
                  <w:r>
                    <w:rPr>
                      <w:rFonts w:hint="eastAsia"/>
                    </w:rPr>
                    <w:t>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pPr>
                  <w:r>
                    <w:rPr>
                      <w:rFonts w:hint="eastAsia"/>
                    </w:rPr>
                    <w:t>□其他</w:t>
                  </w:r>
                </w:p>
              </w:tc>
              <w:tc>
                <w:tcPr>
                  <w:tcW w:w="6912" w:type="dxa"/>
                  <w:vAlign w:val="top"/>
                </w:tcPr>
                <w:p>
                  <w:pPr>
                    <w:shd w:val="clear" w:color="auto" w:fill="EBF1DE"/>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r>
              <w:rPr>
                <w:sz w:val="20"/>
              </w:rPr>
              <w:t>矿用托辊的生产；矿山机械设备的维修所涉及场所的相关环境管理活动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spacing w:before="40" w:after="40"/>
            </w:pPr>
            <w:r>
              <w:rPr>
                <w:rFonts w:hint="eastAsia"/>
              </w:rPr>
              <w:t>已将环境管理体系要求融入到其各项业务过程中，包括：</w:t>
            </w:r>
          </w:p>
          <w:p>
            <w:pPr>
              <w:shd w:val="clear" w:color="auto" w:fill="EBF1DE"/>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spacing w:before="40" w:after="40"/>
            </w:pPr>
            <w:r>
              <w:rPr>
                <w:rFonts w:hint="eastAsia"/>
              </w:rPr>
              <w:sym w:font="Wingdings 2" w:char="00A3"/>
            </w:r>
            <w:r>
              <w:rPr>
                <w:rFonts w:hint="eastAsia"/>
              </w:rPr>
              <w:t>环评三同时□其他</w:t>
            </w:r>
          </w:p>
          <w:p>
            <w:pPr>
              <w:shd w:val="clear" w:color="auto" w:fill="EBF1DE"/>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spacing w:before="40" w:after="40"/>
            </w:pPr>
            <w:r>
              <w:rPr>
                <w:rFonts w:hint="eastAsia"/>
              </w:rPr>
              <w:sym w:font="Wingdings 2" w:char="0052"/>
            </w:r>
            <w:r>
              <w:rPr>
                <w:rFonts w:hint="eastAsia"/>
              </w:rPr>
              <w:t>危险废物处置□消防检测</w:t>
            </w:r>
            <w:r>
              <w:rPr>
                <w:rFonts w:hint="eastAsia"/>
              </w:rPr>
              <w:sym w:font="Wingdings 2" w:char="00A3"/>
            </w:r>
            <w:r>
              <w:rPr>
                <w:rFonts w:hint="eastAsia"/>
              </w:rPr>
              <w:t>生产/服务过程</w:t>
            </w:r>
            <w:r>
              <w:rPr>
                <w:rFonts w:hint="eastAsia"/>
              </w:rPr>
              <w:sym w:font="Wingdings 2" w:char="00A3"/>
            </w:r>
            <w:r>
              <w:rPr>
                <w:rFonts w:hint="eastAsia"/>
              </w:rPr>
              <w:t>环保监测□产品运输□设备维修</w:t>
            </w:r>
          </w:p>
          <w:p>
            <w:pPr>
              <w:shd w:val="clear" w:color="auto" w:fill="EBF1DE"/>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restart"/>
            <w:shd w:val="clear" w:color="auto" w:fill="EBF1DE" w:themeFill="accent3" w:themeFillTint="32"/>
          </w:tcPr>
          <w:p>
            <w:pPr>
              <w:shd w:val="clear" w:color="auto" w:fill="EBF1DE" w:themeFill="accent3" w:themeFillTint="32"/>
            </w:pPr>
            <w:r>
              <w:rPr>
                <w:rFonts w:hint="eastAsia"/>
              </w:rPr>
              <w:t>领导作用</w:t>
            </w:r>
          </w:p>
        </w:tc>
        <w:tc>
          <w:tcPr>
            <w:tcW w:w="8881" w:type="dxa"/>
            <w:shd w:val="clear" w:color="auto" w:fill="EBF1DE" w:themeFill="accent3" w:themeFillTint="32"/>
          </w:tcPr>
          <w:p>
            <w:pPr>
              <w:shd w:val="clear" w:color="auto" w:fill="EBF1DE"/>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环境方针：营造绿色环境,遵守法律法规；实现污染预防 ,推进节能降耗。</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restart"/>
            <w:shd w:val="clear" w:color="auto" w:fill="EBF1DE" w:themeFill="accent3" w:themeFillTint="32"/>
          </w:tcPr>
          <w:p>
            <w:pPr>
              <w:shd w:val="clear" w:color="auto" w:fill="EBF1DE" w:themeFill="accent3" w:themeFillTint="32"/>
            </w:pPr>
            <w:r>
              <w:rPr>
                <w:rFonts w:hint="eastAsia"/>
              </w:rPr>
              <w:t>策划</w:t>
            </w:r>
          </w:p>
        </w:tc>
        <w:tc>
          <w:tcPr>
            <w:tcW w:w="8881"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rPr>
                    <w:t>如果公司现有的运行环境以及设施、设备管理不善，造成的服务停滞，环境污染，会给公司造成很大的服务风险</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rPr>
                    <w:t>制定设备设施年度维保计划，并按照要求进行维保，提高办公环境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cs="Times New Roman"/>
                      <w:kern w:val="2"/>
                      <w:sz w:val="21"/>
                      <w:szCs w:val="24"/>
                      <w:vertAlign w:val="baseline"/>
                      <w:lang w:val="en-US" w:eastAsia="zh-CN" w:bidi="ar-SA"/>
                    </w:rPr>
                    <w:t>火灾</w:t>
                  </w:r>
                </w:p>
              </w:tc>
              <w:tc>
                <w:tcPr>
                  <w:tcW w:w="396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vertAlign w:val="baseline"/>
                      <w:lang w:val="en-US" w:eastAsia="zh-CN"/>
                    </w:rPr>
                    <w:t>建筑消防检测、消防演练</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pPr>
            <w:r>
              <w:rPr>
                <w:rFonts w:hint="eastAsia"/>
              </w:rPr>
              <w:t>、异常状况和可合理预见的紧急情况。</w:t>
            </w:r>
          </w:p>
          <w:p>
            <w:pPr>
              <w:shd w:val="clear" w:color="auto" w:fill="EBF1DE"/>
            </w:pPr>
            <w:r>
              <w:rPr>
                <w:rFonts w:hint="eastAsia"/>
              </w:rPr>
              <w:t>制订了文件化的评价重要环境因素的准则，重要环境因素已识别，且对它们的重要性和对环境的影响被定期评审和更新。</w:t>
            </w:r>
          </w:p>
          <w:p>
            <w:pPr>
              <w:shd w:val="clear" w:color="auto" w:fill="EBF1DE"/>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A3"/>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A3"/>
            </w: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排污许可证编号：91140603MA0L6M3F0J001Z</w:t>
            </w:r>
          </w:p>
          <w:p>
            <w:pPr>
              <w:shd w:val="clear" w:color="auto" w:fill="EBF1DE" w:themeFill="accent3" w:themeFillTint="32"/>
            </w:pPr>
            <w:r>
              <w:rPr>
                <w:rFonts w:hint="eastAsia"/>
              </w:rPr>
              <w:sym w:font="Wingdings 2" w:char="00A3"/>
            </w: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2021年11月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rPr>
            </w:pPr>
            <w:r>
              <w:rPr>
                <w:rFonts w:hint="eastAsia"/>
              </w:rPr>
              <w:t>环境总目标实现情况的评价，及其控制措施是：</w:t>
            </w:r>
          </w:p>
          <w:tbl>
            <w:tblPr>
              <w:tblStyle w:val="8"/>
              <w:tblW w:w="18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387"/>
              <w:gridCol w:w="3499"/>
              <w:gridCol w:w="2444"/>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目标</w:t>
                  </w:r>
                </w:p>
              </w:tc>
              <w:tc>
                <w:tcPr>
                  <w:tcW w:w="138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考核频次</w:t>
                  </w:r>
                </w:p>
              </w:tc>
              <w:tc>
                <w:tcPr>
                  <w:tcW w:w="3499"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计算方法</w:t>
                  </w:r>
                </w:p>
              </w:tc>
              <w:tc>
                <w:tcPr>
                  <w:tcW w:w="244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完成情况（审核周期）</w:t>
                  </w:r>
                </w:p>
              </w:tc>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eastAsia="zh-CN"/>
                    </w:rPr>
                    <w:t>固体废弃物有效处置率100%</w:t>
                  </w:r>
                </w:p>
              </w:tc>
              <w:tc>
                <w:tcPr>
                  <w:tcW w:w="1387"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eastAsia="zh-CN"/>
                    </w:rPr>
                    <w:t>季度</w:t>
                  </w:r>
                </w:p>
              </w:tc>
              <w:tc>
                <w:tcPr>
                  <w:tcW w:w="3499" w:type="dxa"/>
                  <w:shd w:val="clear" w:color="auto" w:fill="auto"/>
                  <w:vAlign w:val="top"/>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rPr>
                    <w:t>固体废弃物有效处置率=固体废弃物有效处置数÷固体废物总数×100%。</w:t>
                  </w:r>
                </w:p>
              </w:tc>
              <w:tc>
                <w:tcPr>
                  <w:tcW w:w="2444" w:type="dxa"/>
                  <w:shd w:val="clear" w:color="auto" w:fill="auto"/>
                  <w:vAlign w:val="center"/>
                </w:tcPr>
                <w:p>
                  <w:pPr>
                    <w:spacing w:line="0" w:lineRule="atLeast"/>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rPr>
                    <w:t>100%</w:t>
                  </w:r>
                </w:p>
              </w:tc>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shd w:val="clear" w:color="auto" w:fill="auto"/>
                  <w:vAlign w:val="center"/>
                </w:tcPr>
                <w:p>
                  <w:pPr>
                    <w:spacing w:line="0" w:lineRule="atLeast"/>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噪声达标排放</w:t>
                  </w:r>
                </w:p>
              </w:tc>
              <w:tc>
                <w:tcPr>
                  <w:tcW w:w="1387"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一年</w:t>
                  </w:r>
                </w:p>
              </w:tc>
              <w:tc>
                <w:tcPr>
                  <w:tcW w:w="3499" w:type="dxa"/>
                  <w:shd w:val="clear" w:color="auto" w:fill="auto"/>
                  <w:vAlign w:val="center"/>
                </w:tcPr>
                <w:p>
                  <w:pPr>
                    <w:spacing w:line="0" w:lineRule="atLeast"/>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委托第三方检测</w:t>
                  </w:r>
                </w:p>
              </w:tc>
              <w:tc>
                <w:tcPr>
                  <w:tcW w:w="2444" w:type="dxa"/>
                  <w:shd w:val="clear" w:color="auto" w:fill="auto"/>
                  <w:vAlign w:val="center"/>
                </w:tcPr>
                <w:p>
                  <w:pPr>
                    <w:spacing w:line="0" w:lineRule="atLeast"/>
                    <w:jc w:val="center"/>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已达标</w:t>
                  </w:r>
                </w:p>
              </w:tc>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shd w:val="clear" w:color="auto" w:fill="auto"/>
                  <w:vAlign w:val="center"/>
                </w:tcPr>
                <w:p>
                  <w:pPr>
                    <w:spacing w:line="0" w:lineRule="atLeast"/>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废气达标排放</w:t>
                  </w:r>
                </w:p>
              </w:tc>
              <w:tc>
                <w:tcPr>
                  <w:tcW w:w="1387"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一年</w:t>
                  </w:r>
                </w:p>
              </w:tc>
              <w:tc>
                <w:tcPr>
                  <w:tcW w:w="3499"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委托第三方检测</w:t>
                  </w:r>
                </w:p>
              </w:tc>
              <w:tc>
                <w:tcPr>
                  <w:tcW w:w="2444" w:type="dxa"/>
                  <w:shd w:val="clear" w:color="auto" w:fill="auto"/>
                  <w:vAlign w:val="center"/>
                </w:tcPr>
                <w:p>
                  <w:pPr>
                    <w:spacing w:line="0" w:lineRule="atLeast"/>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已达标</w:t>
                  </w:r>
                </w:p>
              </w:tc>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081" w:type="dxa"/>
            <w:vMerge w:val="restart"/>
            <w:shd w:val="clear" w:color="auto" w:fill="EBF1DE" w:themeFill="accent3" w:themeFillTint="32"/>
          </w:tcPr>
          <w:p>
            <w:pPr>
              <w:shd w:val="clear" w:color="auto" w:fill="EBF1DE" w:themeFill="accent3" w:themeFillTint="32"/>
            </w:pPr>
            <w:r>
              <w:rPr>
                <w:rFonts w:hint="eastAsia"/>
              </w:rPr>
              <w:t>支持</w:t>
            </w:r>
          </w:p>
        </w:tc>
        <w:tc>
          <w:tcPr>
            <w:tcW w:w="8881"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建筑面积3000余平方米；生产车间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u w:val="single"/>
              </w:rPr>
            </w:pPr>
            <w:r>
              <w:rPr>
                <w:rFonts w:hint="eastAsia"/>
                <w:u w:val="single"/>
              </w:rPr>
              <w:t>主要生产设备有：生产设备，有数控全自动卧式带锯床、钢管双头自动车孔机床、钢管自动切断倒角机床、送丝装置、托辊压装机、托辊轴两端铣槽扁机床、托辊轴双端车卡簧槽机床、铣端面钻中心孔机床、晶闸管控制MIG及MAG弧焊电源、双头CO2气体保护自动焊接机床、托辊自动喷漆机等；</w:t>
            </w:r>
          </w:p>
          <w:p>
            <w:pPr>
              <w:shd w:val="clear" w:color="auto" w:fill="EBF1DE" w:themeFill="accent3" w:themeFillTint="32"/>
              <w:rPr>
                <w:u w:val="single"/>
              </w:rPr>
            </w:pPr>
            <w:r>
              <w:rPr>
                <w:rFonts w:hint="eastAsia"/>
                <w:u w:val="single"/>
              </w:rPr>
              <w:t>维修设备</w:t>
            </w:r>
            <w:r>
              <w:rPr>
                <w:rFonts w:hint="eastAsia"/>
                <w:u w:val="single"/>
                <w:lang w:eastAsia="zh-CN"/>
              </w:rPr>
              <w:t>，</w:t>
            </w:r>
            <w:r>
              <w:rPr>
                <w:rFonts w:hint="eastAsia"/>
                <w:u w:val="single"/>
              </w:rPr>
              <w:t>有大立柱拆柱机、乳化液泵、四柱式液压机、车床、钻铣一体机、电焊机等；</w:t>
            </w:r>
          </w:p>
          <w:p>
            <w:pPr>
              <w:shd w:val="clear" w:color="auto" w:fill="EBF1DE" w:themeFill="accent3" w:themeFillTint="32"/>
              <w:rPr>
                <w:rFonts w:hint="eastAsia" w:eastAsia="宋体"/>
                <w:u w:val="single"/>
                <w:lang w:val="en-US" w:eastAsia="zh-CN"/>
              </w:rPr>
            </w:pPr>
            <w:r>
              <w:rPr>
                <w:rFonts w:hint="eastAsia"/>
              </w:rPr>
              <w:t>主要环保设备有：</w:t>
            </w:r>
            <w:r>
              <w:rPr>
                <w:rFonts w:hint="eastAsia"/>
                <w:u w:val="single"/>
              </w:rPr>
              <w:t>移动式焊烟净化器</w:t>
            </w:r>
            <w:r>
              <w:rPr>
                <w:rFonts w:hint="eastAsia"/>
                <w:u w:val="single"/>
                <w:lang w:eastAsia="zh-CN"/>
              </w:rPr>
              <w:t>、过滤棉+两级活性炭吸附系统</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restart"/>
            <w:shd w:val="clear" w:color="auto" w:fill="EBF1DE" w:themeFill="accent3" w:themeFillTint="32"/>
          </w:tcPr>
          <w:p>
            <w:pPr>
              <w:shd w:val="clear" w:color="auto" w:fill="EBF1DE" w:themeFill="accent3" w:themeFillTint="32"/>
            </w:pPr>
            <w:r>
              <w:rPr>
                <w:rFonts w:hint="eastAsia"/>
              </w:rPr>
              <w:t>运行</w:t>
            </w:r>
          </w:p>
        </w:tc>
        <w:tc>
          <w:tcPr>
            <w:tcW w:w="8881"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sym w:font="Wingdings 2" w:char="00A3"/>
            </w:r>
            <w:r>
              <w:rPr>
                <w:rFonts w:hint="eastAsia"/>
              </w:rPr>
              <w:t>Rohs</w:t>
            </w:r>
            <w:r>
              <w:rPr>
                <w:rFonts w:hint="eastAsia" w:ascii="Wingdings" w:hAnsi="Wingdings"/>
                <w:lang w:eastAsia="zh-CN"/>
              </w:rPr>
              <w:sym w:font="Wingdings 2" w:char="00A3"/>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jc w:val="left"/>
                  </w:pPr>
                  <w:r>
                    <w:rPr>
                      <w:rFonts w:hint="eastAsia"/>
                    </w:rPr>
                    <w:t>通过运行控制/目标、管理方案控制</w:t>
                  </w:r>
                </w:p>
              </w:tc>
              <w:tc>
                <w:tcPr>
                  <w:tcW w:w="3265" w:type="dxa"/>
                  <w:vAlign w:val="top"/>
                </w:tcPr>
                <w:p>
                  <w:pPr>
                    <w:shd w:val="clear" w:color="auto" w:fill="EBF1DE"/>
                    <w:jc w:val="left"/>
                  </w:pPr>
                  <w:r>
                    <w:rPr>
                      <w:rFonts w:hint="eastAsia"/>
                      <w:lang w:val="en-US" w:eastAsia="zh-CN"/>
                    </w:rPr>
                    <w:t>电消耗控制符合要求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jc w:val="left"/>
                  </w:pPr>
                  <w:r>
                    <w:rPr>
                      <w:rFonts w:hint="eastAsia"/>
                    </w:rPr>
                    <w:t>通过运行控制/目标、管理方案控制</w:t>
                  </w:r>
                </w:p>
              </w:tc>
              <w:tc>
                <w:tcPr>
                  <w:tcW w:w="3265" w:type="dxa"/>
                  <w:vAlign w:val="top"/>
                </w:tcPr>
                <w:p>
                  <w:pPr>
                    <w:shd w:val="clear" w:color="auto" w:fill="EBF1DE"/>
                    <w:jc w:val="left"/>
                  </w:pPr>
                  <w:r>
                    <w:rPr>
                      <w:rFonts w:hint="eastAsia"/>
                      <w:lang w:val="en-US" w:eastAsia="zh-CN"/>
                    </w:rPr>
                    <w:t>资源降耗控制符合要求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jc w:val="left"/>
                  </w:pPr>
                  <w:r>
                    <w:rPr>
                      <w:rFonts w:hint="eastAsia"/>
                    </w:rPr>
                    <w:t>通过运行控制/目标、管理方案控制</w:t>
                  </w:r>
                </w:p>
              </w:tc>
              <w:tc>
                <w:tcPr>
                  <w:tcW w:w="3265" w:type="dxa"/>
                  <w:vAlign w:val="top"/>
                </w:tcPr>
                <w:p>
                  <w:pPr>
                    <w:shd w:val="clear" w:color="auto" w:fill="EBF1DE"/>
                    <w:jc w:val="left"/>
                    <w:rPr>
                      <w:rFonts w:hint="eastAsia"/>
                      <w:lang w:val="en-US" w:eastAsia="zh-CN"/>
                    </w:rPr>
                  </w:pPr>
                  <w:r>
                    <w:rPr>
                      <w:rFonts w:hint="eastAsia"/>
                      <w:lang w:val="en-US" w:eastAsia="zh-CN"/>
                    </w:rPr>
                    <w:t>冲洗废水循环利用</w:t>
                  </w:r>
                </w:p>
                <w:p>
                  <w:pPr>
                    <w:shd w:val="clear" w:color="auto" w:fill="EBF1DE"/>
                    <w:jc w:val="left"/>
                  </w:pPr>
                  <w:r>
                    <w:rPr>
                      <w:rFonts w:hint="eastAsia"/>
                      <w:lang w:val="en-US" w:eastAsia="zh-CN"/>
                    </w:rPr>
                    <w:t>生活污水达标排放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jc w:val="left"/>
                  </w:pPr>
                  <w:r>
                    <w:rPr>
                      <w:rFonts w:hint="eastAsia"/>
                    </w:rPr>
                    <w:t>通过运行控制/目标、管理方案控制</w:t>
                  </w:r>
                </w:p>
              </w:tc>
              <w:tc>
                <w:tcPr>
                  <w:tcW w:w="3265" w:type="dxa"/>
                  <w:vAlign w:val="top"/>
                </w:tcPr>
                <w:p>
                  <w:pPr>
                    <w:shd w:val="clear" w:color="auto" w:fill="EBF1DE"/>
                    <w:jc w:val="left"/>
                  </w:pPr>
                  <w:r>
                    <w:rPr>
                      <w:rFonts w:hint="eastAsia"/>
                      <w:lang w:val="en-US" w:eastAsia="zh-CN"/>
                    </w:rPr>
                    <w:t>废气监测符合要求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jc w:val="left"/>
                  </w:pPr>
                  <w:r>
                    <w:rPr>
                      <w:rFonts w:hint="eastAsia"/>
                      <w:lang w:val="en-US" w:eastAsia="zh-CN"/>
                    </w:rPr>
                    <w:t>通过运行控制/目标、管理方案控制</w:t>
                  </w:r>
                </w:p>
              </w:tc>
              <w:tc>
                <w:tcPr>
                  <w:tcW w:w="3265" w:type="dxa"/>
                  <w:vAlign w:val="top"/>
                </w:tcPr>
                <w:p>
                  <w:pPr>
                    <w:shd w:val="clear" w:color="auto" w:fill="EBF1DE"/>
                    <w:jc w:val="left"/>
                  </w:pPr>
                  <w:r>
                    <w:rPr>
                      <w:rFonts w:hint="eastAsia"/>
                      <w:lang w:val="en-US" w:eastAsia="zh-CN"/>
                    </w:rPr>
                    <w:t>噪声监测符合规定要求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jc w:val="left"/>
                  </w:pPr>
                  <w:r>
                    <w:rPr>
                      <w:rFonts w:hint="eastAsia"/>
                      <w:lang w:val="en-US" w:eastAsia="zh-CN"/>
                    </w:rPr>
                    <w:t>集中回收，利用</w:t>
                  </w:r>
                </w:p>
              </w:tc>
              <w:tc>
                <w:tcPr>
                  <w:tcW w:w="3265" w:type="dxa"/>
                  <w:vAlign w:val="top"/>
                </w:tcPr>
                <w:p>
                  <w:pPr>
                    <w:shd w:val="clear" w:color="auto" w:fill="EBF1DE"/>
                    <w:jc w:val="left"/>
                  </w:pPr>
                  <w:r>
                    <w:rPr>
                      <w:rFonts w:hint="eastAsia"/>
                      <w:lang w:val="en-US" w:eastAsia="zh-CN"/>
                    </w:rPr>
                    <w:t>已集中回收，利用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jc w:val="left"/>
                  </w:pPr>
                </w:p>
              </w:tc>
              <w:tc>
                <w:tcPr>
                  <w:tcW w:w="3265" w:type="dxa"/>
                  <w:vAlign w:val="top"/>
                </w:tcPr>
                <w:p>
                  <w:pPr>
                    <w:shd w:val="clear" w:color="auto" w:fill="EBF1DE"/>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jc w:val="left"/>
                  </w:pPr>
                  <w:r>
                    <w:rPr>
                      <w:rFonts w:hint="eastAsia" w:ascii="Times New Roman" w:hAnsi="Times New Roman" w:cs="Times New Roman"/>
                    </w:rPr>
                    <w:t>运行控制；应急准备与响应</w:t>
                  </w:r>
                </w:p>
              </w:tc>
              <w:tc>
                <w:tcPr>
                  <w:tcW w:w="3265" w:type="dxa"/>
                  <w:vAlign w:val="top"/>
                </w:tcPr>
                <w:p>
                  <w:pPr>
                    <w:shd w:val="clear" w:color="auto" w:fill="EBF1DE"/>
                    <w:jc w:val="left"/>
                  </w:pPr>
                  <w:r>
                    <w:rPr>
                      <w:rFonts w:hint="eastAsia"/>
                      <w:lang w:val="en-US" w:eastAsia="zh-CN"/>
                    </w:rPr>
                    <w:t>进行了应急演练，演练评价有效；未发生火灾事故。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vAlign w:val="top"/>
                </w:tcPr>
                <w:p>
                  <w:pPr>
                    <w:shd w:val="clear" w:color="auto" w:fill="EBF1DE"/>
                    <w:jc w:val="left"/>
                  </w:pPr>
                </w:p>
              </w:tc>
              <w:tc>
                <w:tcPr>
                  <w:tcW w:w="3265" w:type="dxa"/>
                  <w:vAlign w:val="top"/>
                </w:tcPr>
                <w:p>
                  <w:pPr>
                    <w:shd w:val="clear" w:color="auto" w:fill="EBF1DE"/>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sym w:font="Wingdings 2" w:char="00A3"/>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A3"/>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于2021年12月24日火灾应急预案演练；并总结了预案的可行性和有效性。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restart"/>
            <w:shd w:val="clear" w:color="auto" w:fill="EBF1DE" w:themeFill="accent3" w:themeFillTint="32"/>
          </w:tcPr>
          <w:p>
            <w:pPr>
              <w:shd w:val="clear" w:color="auto" w:fill="EBF1DE" w:themeFill="accent3" w:themeFillTint="32"/>
            </w:pPr>
            <w:r>
              <w:rPr>
                <w:rFonts w:hint="eastAsia"/>
              </w:rPr>
              <w:t>绩效评价</w:t>
            </w:r>
          </w:p>
        </w:tc>
        <w:tc>
          <w:tcPr>
            <w:tcW w:w="8881"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定期（每年）：2021年12月23日</w:t>
            </w:r>
            <w:r>
              <w:rPr>
                <w:rFonts w:hint="eastAsia"/>
                <w:lang w:val="en-US" w:eastAsia="zh-CN"/>
              </w:rPr>
              <w:t>~</w:t>
            </w:r>
            <w:r>
              <w:rPr>
                <w:rFonts w:hint="eastAsia"/>
              </w:rPr>
              <w:t>12月24日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2022年3月</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通过年度策划于2022年01月14日~01月15日实施了环境管理体系内部审核，对环境管理体系的符合性和有效性进行了审核。内审发现的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最高管理者已按策划的时间间隔，在2022年01月29日对组织的环境管理体系进行了评审，以确保其持续的适宜性、充分性和有效性；管理评审输入、输出均按要求提供。并对提出的改进措施进行了落实。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restart"/>
            <w:shd w:val="clear" w:color="auto" w:fill="EBF1DE" w:themeFill="accent3" w:themeFillTint="32"/>
          </w:tcPr>
          <w:p>
            <w:pPr>
              <w:shd w:val="clear" w:color="auto" w:fill="EBF1DE" w:themeFill="accent3" w:themeFillTint="32"/>
            </w:pPr>
            <w:r>
              <w:rPr>
                <w:rFonts w:hint="eastAsia"/>
              </w:rPr>
              <w:t>改进</w:t>
            </w:r>
          </w:p>
        </w:tc>
        <w:tc>
          <w:tcPr>
            <w:tcW w:w="8881"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vMerge w:val="continue"/>
            <w:shd w:val="clear" w:color="auto" w:fill="EBF1DE" w:themeFill="accent3" w:themeFillTint="32"/>
          </w:tcPr>
          <w:p>
            <w:pPr>
              <w:shd w:val="clear" w:color="auto" w:fill="EBF1DE" w:themeFill="accent3" w:themeFillTint="32"/>
            </w:pPr>
          </w:p>
        </w:tc>
        <w:tc>
          <w:tcPr>
            <w:tcW w:w="8881"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1095"/>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shd w:val="clear" w:color="auto" w:fill="F2DCDC" w:themeFill="accent2" w:themeFillTint="32"/>
          </w:tcPr>
          <w:p>
            <w:r>
              <w:rPr>
                <w:rFonts w:hint="eastAsia"/>
              </w:rPr>
              <w:t>审核周期</w:t>
            </w:r>
          </w:p>
        </w:tc>
        <w:tc>
          <w:tcPr>
            <w:tcW w:w="8867"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shd w:val="clear" w:color="auto" w:fill="F2DCDC" w:themeFill="accent2" w:themeFillTint="32"/>
          </w:tcPr>
          <w:p>
            <w:r>
              <w:rPr>
                <w:rFonts w:hint="eastAsia"/>
              </w:rPr>
              <w:t>体系要素</w:t>
            </w:r>
          </w:p>
        </w:tc>
        <w:tc>
          <w:tcPr>
            <w:tcW w:w="8867"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095" w:type="dxa"/>
            <w:vMerge w:val="restart"/>
            <w:shd w:val="clear" w:color="auto" w:fill="F2DCDC" w:themeFill="accent2" w:themeFillTint="32"/>
          </w:tcPr>
          <w:p>
            <w:r>
              <w:rPr>
                <w:rFonts w:hint="eastAsia"/>
              </w:rPr>
              <w:t>组织环境</w:t>
            </w:r>
          </w:p>
        </w:tc>
        <w:tc>
          <w:tcPr>
            <w:tcW w:w="8867"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095" w:type="dxa"/>
            <w:vMerge w:val="continue"/>
            <w:shd w:val="clear" w:color="auto" w:fill="F2DCDC" w:themeFill="accent2" w:themeFillTint="32"/>
          </w:tcPr>
          <w:p/>
        </w:tc>
        <w:tc>
          <w:tcPr>
            <w:tcW w:w="8867"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主管部门</w:t>
                  </w:r>
                </w:p>
              </w:tc>
              <w:tc>
                <w:tcPr>
                  <w:tcW w:w="6912" w:type="dxa"/>
                  <w:vAlign w:val="top"/>
                </w:tcPr>
                <w:p>
                  <w:r>
                    <w:rPr>
                      <w:rFonts w:hint="eastAsia"/>
                    </w:rPr>
                    <w:sym w:font="Wingdings 2" w:char="0052"/>
                  </w:r>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供方/承包方</w:t>
                  </w:r>
                </w:p>
              </w:tc>
              <w:tc>
                <w:tcPr>
                  <w:tcW w:w="6912" w:type="dxa"/>
                  <w:vAlign w:val="top"/>
                </w:tcPr>
                <w:p>
                  <w:r>
                    <w:rPr>
                      <w:rFonts w:hint="eastAsia"/>
                    </w:rPr>
                    <w:sym w:font="Wingdings 2" w:char="0052"/>
                  </w:r>
                  <w:r>
                    <w:rPr>
                      <w:rFonts w:hint="eastAsia"/>
                    </w:rPr>
                    <w:t>组织的持续经营、</w:t>
                  </w:r>
                  <w:r>
                    <w:rPr>
                      <w:rFonts w:hint="eastAsia"/>
                    </w:rPr>
                    <w:sym w:font="Wingdings 2" w:char="0052"/>
                  </w:r>
                  <w:r>
                    <w:rPr>
                      <w:rFonts w:hint="eastAsia"/>
                    </w:rPr>
                    <w:t>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顾客</w:t>
                  </w:r>
                </w:p>
              </w:tc>
              <w:tc>
                <w:tcPr>
                  <w:tcW w:w="6912" w:type="dxa"/>
                  <w:vAlign w:val="top"/>
                </w:tcPr>
                <w:p>
                  <w:r>
                    <w:rPr>
                      <w:rFonts w:hint="eastAsia"/>
                    </w:rPr>
                    <w:sym w:font="Wingdings 2" w:char="0052"/>
                  </w:r>
                  <w:r>
                    <w:rPr>
                      <w:rFonts w:hint="eastAsia"/>
                    </w:rPr>
                    <w:t>按时按质按量交付产品或服务；</w:t>
                  </w:r>
                  <w:r>
                    <w:rPr>
                      <w:rFonts w:hint="eastAsia"/>
                    </w:rPr>
                    <w:sym w:font="Wingdings 2" w:char="0052"/>
                  </w:r>
                  <w:r>
                    <w:rPr>
                      <w:rFonts w:hint="eastAsia"/>
                    </w:rPr>
                    <w:t>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非政府部门</w:t>
                  </w:r>
                </w:p>
              </w:tc>
              <w:tc>
                <w:tcPr>
                  <w:tcW w:w="6912" w:type="dxa"/>
                  <w:vAlign w:val="top"/>
                </w:tcPr>
                <w:p>
                  <w:r>
                    <w:rPr>
                      <w:rFonts w:hint="eastAsia"/>
                    </w:rPr>
                    <w:sym w:font="Wingdings 2" w:char="0052"/>
                  </w:r>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员工</w:t>
                  </w:r>
                </w:p>
              </w:tc>
              <w:tc>
                <w:tcPr>
                  <w:tcW w:w="6912" w:type="dxa"/>
                  <w:vAlign w:val="top"/>
                </w:tcPr>
                <w:p>
                  <w:r>
                    <w:rPr>
                      <w:rFonts w:hint="eastAsia"/>
                    </w:rPr>
                    <w:sym w:font="Wingdings 2" w:char="0052"/>
                  </w:r>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sym w:font="Wingdings 2" w:char="0052"/>
                  </w:r>
                  <w:r>
                    <w:rPr>
                      <w:rFonts w:hint="eastAsia"/>
                    </w:rPr>
                    <w:t>投资方</w:t>
                  </w:r>
                </w:p>
              </w:tc>
              <w:tc>
                <w:tcPr>
                  <w:tcW w:w="6912" w:type="dxa"/>
                  <w:vAlign w:val="top"/>
                </w:tcPr>
                <w:p>
                  <w:r>
                    <w:rPr>
                      <w:rFonts w:hint="eastAsia"/>
                    </w:rPr>
                    <w:sym w:font="Wingdings 2" w:char="0052"/>
                  </w:r>
                  <w:r>
                    <w:rPr>
                      <w:rFonts w:hint="eastAsia"/>
                    </w:rPr>
                    <w:t>组织的持续经营、盈利；</w:t>
                  </w:r>
                  <w:r>
                    <w:rPr>
                      <w:rFonts w:hint="eastAsia"/>
                    </w:rPr>
                    <w:sym w:font="Wingdings 2" w:char="0052"/>
                  </w:r>
                  <w:r>
                    <w:rPr>
                      <w:rFonts w:hint="eastAsia"/>
                    </w:rPr>
                    <w:t>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组织应明确相关职业健康安全管理体系的范围；（详见第一条款审核范围）</w:t>
            </w:r>
          </w:p>
          <w:p>
            <w:r>
              <w:rPr>
                <w:sz w:val="20"/>
              </w:rPr>
              <w:t>矿用托辊的生产；矿山机械设备的维修所涉及场所的相关职业健康安全管理活动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095" w:type="dxa"/>
            <w:vMerge w:val="continue"/>
            <w:shd w:val="clear" w:color="auto" w:fill="F2DCDC" w:themeFill="accent2" w:themeFillTint="32"/>
          </w:tcPr>
          <w:p/>
        </w:tc>
        <w:tc>
          <w:tcPr>
            <w:tcW w:w="8867"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w:t>
            </w:r>
            <w:r>
              <w:rPr>
                <w:rFonts w:hint="eastAsia"/>
              </w:rPr>
              <w:sym w:font="Wingdings 2" w:char="00A3"/>
            </w:r>
            <w:r>
              <w:rPr>
                <w:rFonts w:hint="eastAsia"/>
              </w:rPr>
              <w:t>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restart"/>
            <w:shd w:val="clear" w:color="auto" w:fill="F2DCDC" w:themeFill="accent2" w:themeFillTint="32"/>
          </w:tcPr>
          <w:p>
            <w:r>
              <w:rPr>
                <w:rFonts w:hint="eastAsia"/>
              </w:rPr>
              <w:t>领导作用</w:t>
            </w:r>
          </w:p>
        </w:tc>
        <w:tc>
          <w:tcPr>
            <w:tcW w:w="8867"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职业健康安全方针：加强预防为主,做好控制保护；强化依法监督,追求卓越绩效。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r>
              <w:rPr>
                <w:rFonts w:hint="eastAsia"/>
              </w:rPr>
              <w:t>安全的主管部门是——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郝志权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restart"/>
            <w:shd w:val="clear" w:color="auto" w:fill="F2DCDC" w:themeFill="accent2" w:themeFillTint="32"/>
          </w:tcPr>
          <w:p>
            <w:r>
              <w:rPr>
                <w:rFonts w:hint="eastAsia"/>
              </w:rPr>
              <w:t>策划</w:t>
            </w:r>
          </w:p>
        </w:tc>
        <w:tc>
          <w:tcPr>
            <w:tcW w:w="8867"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2115"/>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top"/>
                </w:tcPr>
                <w:p>
                  <w:pPr>
                    <w:keepNext w:val="0"/>
                    <w:keepLines w:val="0"/>
                    <w:suppressLineNumbers w:val="0"/>
                    <w:spacing w:before="0" w:beforeAutospacing="0" w:after="0" w:afterAutospacing="0"/>
                    <w:ind w:left="0" w:leftChars="0" w:right="0" w:rightChars="0"/>
                  </w:pPr>
                  <w:r>
                    <w:rPr>
                      <w:rFonts w:hint="eastAsia"/>
                      <w:b/>
                      <w:bCs/>
                      <w:vertAlign w:val="baseline"/>
                      <w:lang w:val="en-US" w:eastAsia="zh-CN"/>
                    </w:rPr>
                    <w:t>重大危险源</w:t>
                  </w:r>
                </w:p>
              </w:tc>
              <w:tc>
                <w:tcPr>
                  <w:tcW w:w="2115" w:type="dxa"/>
                  <w:vAlign w:val="top"/>
                </w:tcPr>
                <w:p>
                  <w:pPr>
                    <w:keepNext w:val="0"/>
                    <w:keepLines w:val="0"/>
                    <w:suppressLineNumbers w:val="0"/>
                    <w:spacing w:before="0" w:beforeAutospacing="0" w:after="0" w:afterAutospacing="0"/>
                    <w:ind w:left="0" w:leftChars="0" w:right="0" w:rightChars="0"/>
                  </w:pPr>
                  <w:r>
                    <w:rPr>
                      <w:rFonts w:hint="eastAsia" w:ascii="宋体" w:hAnsi="宋体" w:cs="Times New Roman"/>
                      <w:kern w:val="2"/>
                      <w:sz w:val="21"/>
                      <w:szCs w:val="24"/>
                      <w:lang w:val="en-US" w:eastAsia="zh-CN" w:bidi="ar-SA"/>
                    </w:rPr>
                    <w:t>职业健康安全风险</w:t>
                  </w:r>
                </w:p>
              </w:tc>
              <w:tc>
                <w:tcPr>
                  <w:tcW w:w="5125" w:type="dxa"/>
                  <w:vAlign w:val="top"/>
                </w:tcPr>
                <w:p>
                  <w:pPr>
                    <w:keepNext w:val="0"/>
                    <w:keepLines w:val="0"/>
                    <w:suppressLineNumbers w:val="0"/>
                    <w:spacing w:before="0" w:beforeAutospacing="0" w:after="0" w:afterAutospacing="0"/>
                    <w:ind w:left="0" w:leftChars="0" w:right="0" w:rightChars="0"/>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keepNext w:val="0"/>
                    <w:keepLines w:val="0"/>
                    <w:suppressLineNumbers w:val="0"/>
                    <w:spacing w:before="0" w:beforeAutospacing="0" w:after="0" w:afterAutospacing="0" w:line="420" w:lineRule="exact"/>
                    <w:ind w:left="0" w:leftChars="0" w:right="0" w:rightChars="0"/>
                    <w:rPr>
                      <w:rFonts w:hint="default" w:ascii="Times New Roman" w:hAnsi="Times New Roman" w:eastAsia="宋体" w:cs="Times New Roman"/>
                      <w:kern w:val="2"/>
                      <w:sz w:val="21"/>
                      <w:szCs w:val="24"/>
                      <w:lang w:val="en-US" w:eastAsia="zh-CN" w:bidi="ar-SA"/>
                    </w:rPr>
                  </w:pPr>
                  <w:r>
                    <w:rPr>
                      <w:rFonts w:hint="eastAsia"/>
                    </w:rPr>
                    <w:t>火灾</w:t>
                  </w:r>
                </w:p>
              </w:tc>
              <w:tc>
                <w:tcPr>
                  <w:tcW w:w="2115" w:type="dxa"/>
                  <w:vAlign w:val="center"/>
                </w:tcPr>
                <w:p>
                  <w:pPr>
                    <w:keepNext w:val="0"/>
                    <w:keepLines w:val="0"/>
                    <w:suppressLineNumbers w:val="0"/>
                    <w:spacing w:before="0" w:beforeAutospacing="0" w:after="0" w:afterAutospacing="0" w:line="420" w:lineRule="exact"/>
                    <w:ind w:left="0" w:leftChars="0" w:right="0" w:rightChars="0"/>
                    <w:rPr>
                      <w:rFonts w:hint="eastAsia" w:ascii="Times New Roman" w:hAnsi="Times New Roman" w:eastAsia="宋体" w:cs="Times New Roman"/>
                      <w:kern w:val="2"/>
                      <w:sz w:val="21"/>
                      <w:szCs w:val="24"/>
                      <w:lang w:val="en-GB" w:eastAsia="zh-CN" w:bidi="ar-SA"/>
                    </w:rPr>
                  </w:pPr>
                  <w:r>
                    <w:rPr>
                      <w:rFonts w:hint="eastAsia"/>
                    </w:rPr>
                    <w:t>人身伤亡/财产损失</w:t>
                  </w:r>
                </w:p>
              </w:tc>
              <w:tc>
                <w:tcPr>
                  <w:tcW w:w="5125" w:type="dxa"/>
                  <w:vAlign w:val="center"/>
                </w:tcPr>
                <w:p>
                  <w:pPr>
                    <w:keepNext w:val="0"/>
                    <w:keepLines w:val="0"/>
                    <w:suppressLineNumbers w:val="0"/>
                    <w:spacing w:before="0" w:beforeAutospacing="0" w:after="0" w:afterAutospacing="0" w:line="420" w:lineRule="exact"/>
                    <w:ind w:left="0" w:leftChars="0" w:right="0" w:rightChars="0"/>
                    <w:rPr>
                      <w:rFonts w:hint="eastAsia" w:ascii="Times New Roman" w:hAnsi="Times New Roman" w:eastAsia="宋体" w:cs="Times New Roman"/>
                      <w:kern w:val="2"/>
                      <w:sz w:val="21"/>
                      <w:szCs w:val="24"/>
                      <w:lang w:val="en-GB" w:eastAsia="zh-CN" w:bidi="ar-SA"/>
                    </w:rPr>
                  </w:pPr>
                  <w:r>
                    <w:rPr>
                      <w:rFonts w:hint="eastAsia"/>
                    </w:rPr>
                    <w:t>加强防消防知识培训，办公楼、生产现场每天做好检查、巡视工作，发现隐患立时报告分管领导，及时消除隐患；火灾发生时，及时拨打119火警电话，做好应急准备和响应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keepNext w:val="0"/>
                    <w:keepLines w:val="0"/>
                    <w:suppressLineNumbers w:val="0"/>
                    <w:spacing w:before="0" w:beforeAutospacing="0" w:after="0" w:afterAutospacing="0" w:line="480" w:lineRule="exact"/>
                    <w:ind w:left="0" w:leftChars="0" w:right="0" w:rightChars="0"/>
                    <w:rPr>
                      <w:rFonts w:hint="eastAsia" w:ascii="Times New Roman" w:hAnsi="Times New Roman" w:eastAsia="宋体" w:cs="Times New Roman"/>
                      <w:kern w:val="2"/>
                      <w:sz w:val="21"/>
                      <w:szCs w:val="24"/>
                      <w:lang w:val="en-US" w:eastAsia="zh-CN" w:bidi="ar-SA"/>
                    </w:rPr>
                  </w:pPr>
                  <w:r>
                    <w:rPr>
                      <w:rFonts w:hint="eastAsia"/>
                    </w:rPr>
                    <w:t>机械伤害</w:t>
                  </w:r>
                </w:p>
              </w:tc>
              <w:tc>
                <w:tcPr>
                  <w:tcW w:w="2115" w:type="dxa"/>
                  <w:vAlign w:val="center"/>
                </w:tcPr>
                <w:p>
                  <w:pPr>
                    <w:keepNext w:val="0"/>
                    <w:keepLines w:val="0"/>
                    <w:suppressLineNumbers w:val="0"/>
                    <w:spacing w:before="0" w:beforeAutospacing="0" w:after="0" w:afterAutospacing="0" w:line="480" w:lineRule="exact"/>
                    <w:ind w:left="0" w:leftChars="0" w:right="0" w:rightChars="0"/>
                    <w:rPr>
                      <w:rFonts w:hint="eastAsia" w:ascii="宋体" w:hAnsi="宋体" w:eastAsia="宋体" w:cs="Times New Roman"/>
                      <w:kern w:val="2"/>
                      <w:sz w:val="21"/>
                      <w:szCs w:val="24"/>
                      <w:lang w:val="en-US" w:eastAsia="zh-CN" w:bidi="ar-SA"/>
                    </w:rPr>
                  </w:pPr>
                  <w:r>
                    <w:rPr>
                      <w:rFonts w:hint="eastAsia"/>
                    </w:rPr>
                    <w:t>人身伤亡</w:t>
                  </w:r>
                </w:p>
              </w:tc>
              <w:tc>
                <w:tcPr>
                  <w:tcW w:w="5125" w:type="dxa"/>
                  <w:vAlign w:val="center"/>
                </w:tcPr>
                <w:p>
                  <w:pPr>
                    <w:keepNext w:val="0"/>
                    <w:keepLines w:val="0"/>
                    <w:suppressLineNumbers w:val="0"/>
                    <w:spacing w:before="0" w:beforeAutospacing="0" w:after="0" w:afterAutospacing="0" w:line="420" w:lineRule="exact"/>
                    <w:ind w:left="0" w:leftChars="0" w:right="0" w:rightChars="0"/>
                    <w:rPr>
                      <w:rFonts w:hint="eastAsia" w:ascii="宋体" w:hAnsi="宋体" w:eastAsia="宋体" w:cs="Times New Roman"/>
                      <w:kern w:val="2"/>
                      <w:sz w:val="21"/>
                      <w:szCs w:val="24"/>
                      <w:lang w:val="en-US" w:eastAsia="zh-CN" w:bidi="ar-SA"/>
                    </w:rPr>
                  </w:pPr>
                  <w:r>
                    <w:rPr>
                      <w:rFonts w:hint="eastAsia"/>
                    </w:rPr>
                    <w:t>完善安全操作规程，并对员工进行培训、教育；加强检查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keepNext w:val="0"/>
                    <w:keepLines w:val="0"/>
                    <w:suppressLineNumbers w:val="0"/>
                    <w:spacing w:before="0" w:beforeAutospacing="0" w:after="0" w:afterAutospacing="0" w:line="480" w:lineRule="exact"/>
                    <w:ind w:left="0" w:leftChars="0" w:right="0" w:rightChars="0"/>
                    <w:rPr>
                      <w:rFonts w:hint="eastAsia" w:ascii="Times New Roman" w:hAnsi="Times New Roman" w:eastAsia="宋体" w:cs="Times New Roman"/>
                      <w:kern w:val="2"/>
                      <w:sz w:val="21"/>
                      <w:szCs w:val="24"/>
                      <w:lang w:val="en-US" w:eastAsia="zh-CN" w:bidi="ar-SA"/>
                    </w:rPr>
                  </w:pPr>
                  <w:r>
                    <w:rPr>
                      <w:rFonts w:hint="eastAsia"/>
                    </w:rPr>
                    <w:t>触电伤害</w:t>
                  </w:r>
                </w:p>
              </w:tc>
              <w:tc>
                <w:tcPr>
                  <w:tcW w:w="2115" w:type="dxa"/>
                  <w:vAlign w:val="center"/>
                </w:tcPr>
                <w:p>
                  <w:pPr>
                    <w:keepNext w:val="0"/>
                    <w:keepLines w:val="0"/>
                    <w:suppressLineNumbers w:val="0"/>
                    <w:spacing w:before="0" w:beforeAutospacing="0" w:after="0" w:afterAutospacing="0" w:line="480" w:lineRule="exact"/>
                    <w:ind w:left="0" w:leftChars="0" w:right="0" w:rightChars="0"/>
                    <w:rPr>
                      <w:rFonts w:hint="eastAsia" w:ascii="宋体" w:hAnsi="宋体" w:eastAsia="宋体" w:cs="Times New Roman"/>
                      <w:kern w:val="2"/>
                      <w:sz w:val="21"/>
                      <w:szCs w:val="24"/>
                      <w:lang w:val="en-US" w:eastAsia="zh-CN" w:bidi="ar-SA"/>
                    </w:rPr>
                  </w:pPr>
                  <w:r>
                    <w:rPr>
                      <w:rFonts w:hint="eastAsia"/>
                    </w:rPr>
                    <w:t>人身伤亡</w:t>
                  </w:r>
                </w:p>
              </w:tc>
              <w:tc>
                <w:tcPr>
                  <w:tcW w:w="5125" w:type="dxa"/>
                  <w:vAlign w:val="center"/>
                </w:tcPr>
                <w:p>
                  <w:pPr>
                    <w:keepNext w:val="0"/>
                    <w:keepLines w:val="0"/>
                    <w:suppressLineNumbers w:val="0"/>
                    <w:spacing w:before="0" w:beforeAutospacing="0" w:after="0" w:afterAutospacing="0" w:line="420" w:lineRule="exact"/>
                    <w:ind w:left="0" w:leftChars="0" w:right="0" w:rightChars="0"/>
                    <w:rPr>
                      <w:rFonts w:hint="eastAsia" w:ascii="宋体" w:hAnsi="宋体" w:eastAsia="宋体" w:cs="Times New Roman"/>
                      <w:kern w:val="2"/>
                      <w:sz w:val="21"/>
                      <w:szCs w:val="24"/>
                      <w:lang w:val="en-US" w:eastAsia="zh-CN" w:bidi="ar-SA"/>
                    </w:rPr>
                  </w:pPr>
                  <w:r>
                    <w:rPr>
                      <w:rFonts w:hint="eastAsia"/>
                    </w:rPr>
                    <w:t>加强用电安全培训教育；用电过程中佩戴相应防护用品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keepNext w:val="0"/>
                    <w:keepLines w:val="0"/>
                    <w:suppressLineNumbers w:val="0"/>
                    <w:spacing w:before="0" w:beforeAutospacing="0" w:after="0" w:afterAutospacing="0" w:line="480" w:lineRule="exact"/>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人身伤害</w:t>
                  </w:r>
                </w:p>
              </w:tc>
              <w:tc>
                <w:tcPr>
                  <w:tcW w:w="2115" w:type="dxa"/>
                  <w:vAlign w:val="center"/>
                </w:tcPr>
                <w:p>
                  <w:pPr>
                    <w:keepNext w:val="0"/>
                    <w:keepLines w:val="0"/>
                    <w:suppressLineNumbers w:val="0"/>
                    <w:spacing w:before="0" w:beforeAutospacing="0" w:after="0" w:afterAutospacing="0" w:line="480" w:lineRule="exact"/>
                    <w:ind w:left="0" w:leftChars="0" w:right="0" w:rightChars="0"/>
                    <w:rPr>
                      <w:rFonts w:hint="eastAsia" w:ascii="宋体" w:hAnsi="宋体" w:eastAsia="宋体" w:cs="Times New Roman"/>
                      <w:kern w:val="2"/>
                      <w:sz w:val="21"/>
                      <w:szCs w:val="24"/>
                      <w:lang w:val="en-US" w:eastAsia="zh-CN" w:bidi="ar-SA"/>
                    </w:rPr>
                  </w:pPr>
                  <w:r>
                    <w:rPr>
                      <w:rFonts w:hint="eastAsia"/>
                    </w:rPr>
                    <w:t>人身伤亡</w:t>
                  </w:r>
                </w:p>
              </w:tc>
              <w:tc>
                <w:tcPr>
                  <w:tcW w:w="5125" w:type="dxa"/>
                  <w:vAlign w:val="center"/>
                </w:tcPr>
                <w:p>
                  <w:pPr>
                    <w:keepNext w:val="0"/>
                    <w:keepLines w:val="0"/>
                    <w:suppressLineNumbers w:val="0"/>
                    <w:spacing w:before="0" w:beforeAutospacing="0" w:after="0" w:afterAutospacing="0" w:line="420" w:lineRule="exact"/>
                    <w:ind w:left="0" w:leftChars="0" w:right="0" w:rightChars="0"/>
                    <w:rPr>
                      <w:rFonts w:hint="eastAsia" w:ascii="宋体" w:hAnsi="宋体" w:eastAsia="宋体" w:cs="Times New Roman"/>
                      <w:kern w:val="2"/>
                      <w:sz w:val="21"/>
                      <w:szCs w:val="24"/>
                      <w:lang w:val="en-US" w:eastAsia="zh-CN" w:bidi="ar-SA"/>
                    </w:rPr>
                  </w:pPr>
                  <w:r>
                    <w:rPr>
                      <w:rFonts w:hint="eastAsia"/>
                    </w:rPr>
                    <w:t>加强安全培训教育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pPr>
                    <w:keepNext w:val="0"/>
                    <w:keepLines w:val="0"/>
                    <w:suppressLineNumbers w:val="0"/>
                    <w:spacing w:before="0" w:beforeAutospacing="0" w:after="0" w:afterAutospacing="0" w:line="480" w:lineRule="exact"/>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职业病</w:t>
                  </w:r>
                </w:p>
              </w:tc>
              <w:tc>
                <w:tcPr>
                  <w:tcW w:w="2115" w:type="dxa"/>
                  <w:vAlign w:val="center"/>
                </w:tcPr>
                <w:p>
                  <w:pPr>
                    <w:keepNext w:val="0"/>
                    <w:keepLines w:val="0"/>
                    <w:suppressLineNumbers w:val="0"/>
                    <w:spacing w:before="0" w:beforeAutospacing="0" w:after="0" w:afterAutospacing="0" w:line="480" w:lineRule="exact"/>
                    <w:ind w:left="0" w:leftChars="0" w:right="0" w:rightChars="0"/>
                    <w:rPr>
                      <w:rFonts w:hint="eastAsia" w:ascii="Times New Roman" w:hAnsi="Times New Roman" w:eastAsia="宋体" w:cs="Times New Roman"/>
                      <w:kern w:val="2"/>
                      <w:sz w:val="21"/>
                      <w:szCs w:val="24"/>
                      <w:lang w:val="en-US" w:eastAsia="zh-CN" w:bidi="ar-SA"/>
                    </w:rPr>
                  </w:pPr>
                  <w:r>
                    <w:rPr>
                      <w:rFonts w:hint="eastAsia"/>
                    </w:rPr>
                    <w:t>人身伤亡</w:t>
                  </w:r>
                </w:p>
              </w:tc>
              <w:tc>
                <w:tcPr>
                  <w:tcW w:w="5125" w:type="dxa"/>
                  <w:vAlign w:val="center"/>
                </w:tcPr>
                <w:p>
                  <w:pPr>
                    <w:keepNext w:val="0"/>
                    <w:keepLines w:val="0"/>
                    <w:suppressLineNumbers w:val="0"/>
                    <w:spacing w:before="0" w:beforeAutospacing="0" w:after="0" w:afterAutospacing="0" w:line="420" w:lineRule="exact"/>
                    <w:ind w:left="0" w:leftChars="0" w:right="0" w:rightChars="0"/>
                    <w:rPr>
                      <w:rFonts w:hint="default" w:ascii="Times New Roman" w:hAnsi="Times New Roman" w:eastAsia="宋体" w:cs="Times New Roman"/>
                      <w:kern w:val="2"/>
                      <w:sz w:val="21"/>
                      <w:szCs w:val="24"/>
                      <w:lang w:val="en-US" w:eastAsia="zh-CN" w:bidi="ar-SA"/>
                    </w:rPr>
                  </w:pPr>
                  <w:r>
                    <w:rPr>
                      <w:rFonts w:hint="eastAsia"/>
                      <w:lang w:val="en-US" w:eastAsia="zh-CN"/>
                    </w:rPr>
                    <w:t>加强人员安全教育培训、定期体检、佩戴劳保用品</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A3"/>
            </w:r>
            <w:r>
              <w:rPr>
                <w:rFonts w:hint="eastAsia"/>
              </w:rPr>
              <w:t>粉尘</w:t>
            </w:r>
            <w:r>
              <w:rPr>
                <w:rFonts w:hint="eastAsia"/>
              </w:rPr>
              <w:sym w:font="Wingdings 2" w:char="00A3"/>
            </w:r>
            <w:r>
              <w:rPr>
                <w:rFonts w:hint="eastAsia"/>
              </w:rPr>
              <w:t>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员工体检报告2022年3月2日</w:t>
            </w:r>
          </w:p>
          <w:p>
            <w:r>
              <w:rPr>
                <w:rFonts w:hint="eastAsia"/>
              </w:rPr>
              <w:t>□消防验收/备案证明日期：</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A3"/>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r>
              <w:rPr>
                <w:rFonts w:hint="eastAsia"/>
              </w:rPr>
              <w:t>总职业健康安全目标实现情况的评价，及其控制措施是：</w:t>
            </w:r>
          </w:p>
          <w:tbl>
            <w:tblPr>
              <w:tblStyle w:val="8"/>
              <w:tblW w:w="1813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387"/>
              <w:gridCol w:w="2000"/>
              <w:gridCol w:w="3943"/>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目标</w:t>
                  </w:r>
                </w:p>
              </w:tc>
              <w:tc>
                <w:tcPr>
                  <w:tcW w:w="1387"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考核频次</w:t>
                  </w:r>
                </w:p>
              </w:tc>
              <w:tc>
                <w:tcPr>
                  <w:tcW w:w="200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计算方法</w:t>
                  </w:r>
                </w:p>
              </w:tc>
              <w:tc>
                <w:tcPr>
                  <w:tcW w:w="394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完成情况（审核周期）</w:t>
                  </w:r>
                </w:p>
              </w:tc>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shd w:val="clear" w:color="auto" w:fill="auto"/>
                  <w:vAlign w:val="center"/>
                </w:tcPr>
                <w:p>
                  <w:pPr>
                    <w:spacing w:line="0" w:lineRule="atLeast"/>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eastAsia="zh-CN"/>
                    </w:rPr>
                    <w:t>年度轻伤事故为0</w:t>
                  </w:r>
                </w:p>
              </w:tc>
              <w:tc>
                <w:tcPr>
                  <w:tcW w:w="1387" w:type="dxa"/>
                  <w:shd w:val="clear" w:color="auto" w:fill="auto"/>
                  <w:vAlign w:val="center"/>
                </w:tcPr>
                <w:p>
                  <w:pPr>
                    <w:spacing w:line="0" w:lineRule="atLeas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季度</w:t>
                  </w:r>
                </w:p>
              </w:tc>
              <w:tc>
                <w:tcPr>
                  <w:tcW w:w="2000" w:type="dxa"/>
                  <w:shd w:val="clear" w:color="auto" w:fill="auto"/>
                  <w:vAlign w:val="center"/>
                </w:tcPr>
                <w:p>
                  <w:pPr>
                    <w:spacing w:line="0" w:lineRule="atLeast"/>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查看事故台账</w:t>
                  </w:r>
                </w:p>
              </w:tc>
              <w:tc>
                <w:tcPr>
                  <w:tcW w:w="3943" w:type="dxa"/>
                  <w:shd w:val="clear" w:color="auto" w:fill="auto"/>
                  <w:vAlign w:val="center"/>
                </w:tcPr>
                <w:p>
                  <w:pPr>
                    <w:spacing w:line="0" w:lineRule="atLeast"/>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已达标</w:t>
                  </w:r>
                </w:p>
              </w:tc>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shd w:val="clear" w:color="auto" w:fill="auto"/>
                  <w:vAlign w:val="center"/>
                </w:tcPr>
                <w:p>
                  <w:pPr>
                    <w:spacing w:line="0" w:lineRule="atLeast"/>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职业病发生率为0</w:t>
                  </w:r>
                </w:p>
              </w:tc>
              <w:tc>
                <w:tcPr>
                  <w:tcW w:w="1387" w:type="dxa"/>
                  <w:shd w:val="clear" w:color="auto" w:fill="auto"/>
                  <w:vAlign w:val="center"/>
                </w:tcPr>
                <w:p>
                  <w:pPr>
                    <w:spacing w:line="0" w:lineRule="atLeast"/>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一年</w:t>
                  </w:r>
                </w:p>
              </w:tc>
              <w:tc>
                <w:tcPr>
                  <w:tcW w:w="2000" w:type="dxa"/>
                  <w:shd w:val="clear" w:color="auto" w:fill="auto"/>
                  <w:vAlign w:val="center"/>
                </w:tcPr>
                <w:p>
                  <w:pPr>
                    <w:spacing w:line="0" w:lineRule="atLeast"/>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查看人员查体报告</w:t>
                  </w:r>
                </w:p>
              </w:tc>
              <w:tc>
                <w:tcPr>
                  <w:tcW w:w="3943" w:type="dxa"/>
                  <w:shd w:val="clear" w:color="auto" w:fill="auto"/>
                  <w:vAlign w:val="center"/>
                </w:tcPr>
                <w:p>
                  <w:pPr>
                    <w:spacing w:line="0" w:lineRule="atLeast"/>
                    <w:jc w:val="center"/>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Cs w:val="21"/>
                      <w:lang w:val="en-US" w:eastAsia="zh-CN"/>
                    </w:rPr>
                    <w:t>已达标</w:t>
                  </w:r>
                </w:p>
              </w:tc>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095" w:type="dxa"/>
            <w:vMerge w:val="restart"/>
            <w:shd w:val="clear" w:color="auto" w:fill="F2DCDC" w:themeFill="accent2" w:themeFillTint="32"/>
          </w:tcPr>
          <w:p>
            <w:r>
              <w:rPr>
                <w:rFonts w:hint="eastAsia"/>
              </w:rPr>
              <w:t>支持</w:t>
            </w:r>
          </w:p>
        </w:tc>
        <w:tc>
          <w:tcPr>
            <w:tcW w:w="8867" w:type="dxa"/>
            <w:shd w:val="clear" w:color="auto" w:fill="F2DCDC" w:themeFill="accent2" w:themeFillTint="32"/>
            <w:vAlign w:val="top"/>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095" w:type="dxa"/>
            <w:vMerge w:val="continue"/>
            <w:shd w:val="clear" w:color="auto" w:fill="F2DCDC" w:themeFill="accent2" w:themeFillTint="32"/>
          </w:tcPr>
          <w:p/>
        </w:tc>
        <w:tc>
          <w:tcPr>
            <w:tcW w:w="8867"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组织应确定、提供并维护所需的基础设施情况：</w:t>
            </w:r>
          </w:p>
          <w:p>
            <w:pPr>
              <w:rPr>
                <w:highlight w:val="none"/>
              </w:rPr>
            </w:pPr>
            <w:r>
              <w:rPr>
                <w:rFonts w:hint="eastAsia"/>
                <w:highlight w:val="none"/>
              </w:rPr>
              <w:t>建筑面积</w:t>
            </w:r>
            <w:r>
              <w:rPr>
                <w:rFonts w:hint="eastAsia"/>
                <w:highlight w:val="none"/>
                <w:lang w:val="en-US" w:eastAsia="zh-CN"/>
              </w:rPr>
              <w:t>3000余</w:t>
            </w:r>
            <w:r>
              <w:rPr>
                <w:rFonts w:hint="eastAsia"/>
                <w:highlight w:val="none"/>
              </w:rPr>
              <w:t>平方米；生产车间</w:t>
            </w:r>
            <w:r>
              <w:rPr>
                <w:rFonts w:hint="eastAsia"/>
                <w:highlight w:val="none"/>
                <w:lang w:val="en-US" w:eastAsia="zh-CN"/>
              </w:rPr>
              <w:t>2</w:t>
            </w:r>
            <w:r>
              <w:rPr>
                <w:rFonts w:hint="eastAsia"/>
                <w:highlight w:val="none"/>
              </w:rPr>
              <w:t>个；库房</w:t>
            </w:r>
            <w:r>
              <w:rPr>
                <w:rFonts w:hint="eastAsia"/>
                <w:highlight w:val="none"/>
                <w:lang w:val="en-US" w:eastAsia="zh-CN"/>
              </w:rPr>
              <w:t>1</w:t>
            </w:r>
            <w:r>
              <w:rPr>
                <w:rFonts w:hint="eastAsia"/>
                <w:highlight w:val="none"/>
              </w:rPr>
              <w:t>个；实验室</w:t>
            </w:r>
            <w:r>
              <w:rPr>
                <w:rFonts w:hint="eastAsia"/>
                <w:highlight w:val="none"/>
                <w:lang w:val="en-US" w:eastAsia="zh-CN"/>
              </w:rPr>
              <w:t>1</w:t>
            </w:r>
            <w:r>
              <w:rPr>
                <w:rFonts w:hint="eastAsia"/>
                <w:highlight w:val="none"/>
              </w:rPr>
              <w:t>个；</w:t>
            </w:r>
          </w:p>
          <w:p>
            <w:pPr>
              <w:rPr>
                <w:rFonts w:hint="eastAsia"/>
                <w:u w:val="single"/>
              </w:rPr>
            </w:pPr>
            <w:r>
              <w:rPr>
                <w:rFonts w:hint="eastAsia"/>
              </w:rPr>
              <w:t>主要生产设备有：</w:t>
            </w:r>
            <w:r>
              <w:rPr>
                <w:rFonts w:hint="eastAsia"/>
                <w:u w:val="single"/>
              </w:rPr>
              <w:t>生产设备，主要有数控全自动卧式带锯床、钢管双头自动车孔机床、钢管自动切断倒角机床、送丝装置、托辊压装机、托辊轴两端铣槽扁机床、托辊轴双端车卡簧槽机床、铣端面钻中心孔机床、晶闸管控制MIG及MAG弧焊电源、双头CO2气体保护自动焊接机床、托辊自动喷漆机等；</w:t>
            </w:r>
          </w:p>
          <w:p>
            <w:pPr>
              <w:rPr>
                <w:u w:val="single"/>
              </w:rPr>
            </w:pPr>
            <w:r>
              <w:rPr>
                <w:rFonts w:hint="eastAsia"/>
                <w:u w:val="single"/>
              </w:rPr>
              <w:t>维修设备有大立柱拆柱机、乳化液泵、四柱式液压机、车床、钻铣一体机、电焊机等；</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sym w:font="Wingdings 2" w:char="0052"/>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A3"/>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sym w:font="Wingdings 2" w:char="00A3"/>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095" w:type="dxa"/>
            <w:vMerge w:val="continue"/>
            <w:shd w:val="clear" w:color="auto" w:fill="F2DCDC" w:themeFill="accent2" w:themeFillTint="32"/>
          </w:tcPr>
          <w:p/>
        </w:tc>
        <w:tc>
          <w:tcPr>
            <w:tcW w:w="8867"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095" w:type="dxa"/>
            <w:vMerge w:val="continue"/>
            <w:shd w:val="clear" w:color="auto" w:fill="F2DCDC" w:themeFill="accent2" w:themeFillTint="32"/>
          </w:tcPr>
          <w:p/>
        </w:tc>
        <w:tc>
          <w:tcPr>
            <w:tcW w:w="8867"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vAlign w:val="top"/>
                </w:tcPr>
                <w:p>
                  <w:pPr>
                    <w:jc w:val="left"/>
                  </w:pPr>
                  <w:r>
                    <w:rPr>
                      <w:rFonts w:hint="eastAsia"/>
                    </w:rPr>
                    <w:sym w:font="Wingdings 2" w:char="0052"/>
                  </w:r>
                  <w:r>
                    <w:rPr>
                      <w:rFonts w:hint="eastAsia"/>
                    </w:rPr>
                    <w:t>安全装置□挂牌上锁管理</w:t>
                  </w:r>
                </w:p>
              </w:tc>
              <w:tc>
                <w:tcPr>
                  <w:tcW w:w="2205" w:type="dxa"/>
                  <w:vAlign w:val="top"/>
                </w:tcPr>
                <w:p>
                  <w:pPr>
                    <w:jc w:val="left"/>
                  </w:pPr>
                  <w:r>
                    <w:rPr>
                      <w:rFonts w:hint="eastAsia"/>
                      <w:lang w:val="en-US" w:eastAsia="zh-CN"/>
                    </w:rPr>
                    <w:t>托辊生产、矿山设备维修过程安全装置控制符合要求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vAlign w:val="top"/>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vAlign w:val="top"/>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vAlign w:val="top"/>
                </w:tcPr>
                <w:p>
                  <w:pPr>
                    <w:jc w:val="left"/>
                  </w:pPr>
                  <w:r>
                    <w:rPr>
                      <w:rFonts w:hint="eastAsia"/>
                    </w:rPr>
                    <w:t>□设置围堰□排风系统□穿戴劳保用品</w:t>
                  </w: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vAlign w:val="top"/>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vAlign w:val="top"/>
                </w:tcPr>
                <w:p>
                  <w:pPr>
                    <w:jc w:val="left"/>
                  </w:pPr>
                  <w:r>
                    <w:rPr>
                      <w:rFonts w:hint="eastAsia"/>
                    </w:rPr>
                    <w:t>□定期检测□压力巡视</w:t>
                  </w: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vAlign w:val="top"/>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pPr>
                  <w:r>
                    <w:rPr>
                      <w:rFonts w:hint="eastAsia"/>
                    </w:rPr>
                    <w:sym w:font="Wingdings 2" w:char="0052"/>
                  </w:r>
                  <w:r>
                    <w:rPr>
                      <w:rFonts w:hint="eastAsia"/>
                      <w:lang w:val="en-US" w:eastAsia="zh-CN"/>
                    </w:rPr>
                    <w:t>消防装置</w:t>
                  </w:r>
                  <w:r>
                    <w:rPr>
                      <w:rFonts w:hint="eastAsia"/>
                    </w:rPr>
                    <w:sym w:font="Wingdings 2" w:char="0052"/>
                  </w:r>
                  <w:r>
                    <w:rPr>
                      <w:rFonts w:hint="eastAsia"/>
                      <w:lang w:val="en-US" w:eastAsia="zh-CN"/>
                    </w:rPr>
                    <w:t>应急演练</w:t>
                  </w:r>
                </w:p>
              </w:tc>
              <w:tc>
                <w:tcPr>
                  <w:tcW w:w="2205" w:type="dxa"/>
                  <w:vAlign w:val="top"/>
                </w:tcPr>
                <w:p>
                  <w:pPr>
                    <w:jc w:val="left"/>
                  </w:pPr>
                  <w:r>
                    <w:rPr>
                      <w:rFonts w:hint="eastAsia"/>
                      <w:lang w:val="en-US" w:eastAsia="zh-CN"/>
                    </w:rPr>
                    <w:t>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color w:val="000000"/>
              </w:rPr>
              <w:t>2021年12月24日火灾应急预案演练</w:t>
            </w:r>
            <w:r>
              <w:rPr>
                <w:rFonts w:hint="eastAsia"/>
                <w:color w:val="000000"/>
                <w:lang w:eastAsia="zh-CN"/>
              </w:rPr>
              <w:t>、</w:t>
            </w:r>
            <w:r>
              <w:rPr>
                <w:rFonts w:hint="eastAsia"/>
                <w:color w:val="000000"/>
              </w:rPr>
              <w:t>2021年10月19日触电事故演练</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bookmarkStart w:id="35" w:name="_GoBack"/>
            <w:bookmarkEnd w:id="35"/>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restart"/>
            <w:shd w:val="clear" w:color="auto" w:fill="F2DCDC" w:themeFill="accent2" w:themeFillTint="32"/>
          </w:tcPr>
          <w:p>
            <w:r>
              <w:rPr>
                <w:rFonts w:hint="eastAsia"/>
              </w:rPr>
              <w:t>绩效评价</w:t>
            </w:r>
          </w:p>
        </w:tc>
        <w:tc>
          <w:tcPr>
            <w:tcW w:w="8867"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w:t>
            </w:r>
            <w:r>
              <w:rPr>
                <w:rFonts w:hint="eastAsia"/>
                <w:lang w:val="en-US" w:eastAsia="zh-CN"/>
              </w:rPr>
              <w:t>~24日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lang w:val="en-US" w:eastAsia="zh-CN"/>
              </w:rPr>
              <w:t>员工体检报告2022-03-02</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01月14日~01月15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最高管理者已按策划的时间间隔，在2022年01月29日对组织的职业健康安全管理体系进行了评审，以确保其持续的适宜性、充分性和有效性；管理评审输入、输出均按要求提供。并对提出的改进措施进行了落实。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restart"/>
            <w:shd w:val="clear" w:color="auto" w:fill="F2DCDC" w:themeFill="accent2" w:themeFillTint="32"/>
          </w:tcPr>
          <w:p>
            <w:r>
              <w:rPr>
                <w:rFonts w:hint="eastAsia"/>
              </w:rPr>
              <w:t>事件调查、不符合、纠正措施和持续改善措施</w:t>
            </w:r>
          </w:p>
        </w:tc>
        <w:tc>
          <w:tcPr>
            <w:tcW w:w="8867"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r>
              <w:rPr>
                <w:rFonts w:hint="eastAsia" w:ascii="Wingdings" w:hAnsi="Wingdings"/>
                <w:lang w:eastAsia="zh-CN"/>
              </w:rPr>
              <w:sym w:font="Wingdings 2" w:char="0052"/>
            </w:r>
            <w:r>
              <w:rPr>
                <w:rFonts w:hint="eastAsia"/>
              </w:rPr>
              <w:t>未发生</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095" w:type="dxa"/>
            <w:vMerge w:val="continue"/>
            <w:shd w:val="clear" w:color="auto" w:fill="F2DCDC" w:themeFill="accent2" w:themeFillTint="32"/>
          </w:tcPr>
          <w:p/>
        </w:tc>
        <w:tc>
          <w:tcPr>
            <w:tcW w:w="8867"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_x0000_s1026"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vmK93XAAAACQEAAA8AAAAAAAAAAQAgAAAAIgAAAGRycy9kb3ducmV2Lnht&#10;bFBLAQIUABQAAAAIAIdO4kBeG0v5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52F76"/>
    <w:rsid w:val="04581CB1"/>
    <w:rsid w:val="068C1A4A"/>
    <w:rsid w:val="09903C9B"/>
    <w:rsid w:val="0CBA3508"/>
    <w:rsid w:val="0FAB0EE6"/>
    <w:rsid w:val="130B7EEE"/>
    <w:rsid w:val="15DD0268"/>
    <w:rsid w:val="18574301"/>
    <w:rsid w:val="1C4616F5"/>
    <w:rsid w:val="22CC31F6"/>
    <w:rsid w:val="271635D9"/>
    <w:rsid w:val="27F868FE"/>
    <w:rsid w:val="2BB1742D"/>
    <w:rsid w:val="2D480265"/>
    <w:rsid w:val="331D35FA"/>
    <w:rsid w:val="345D2848"/>
    <w:rsid w:val="39B32F0A"/>
    <w:rsid w:val="3D6764E5"/>
    <w:rsid w:val="426C3C56"/>
    <w:rsid w:val="43DE2931"/>
    <w:rsid w:val="45D466E2"/>
    <w:rsid w:val="48F74BC1"/>
    <w:rsid w:val="4BC114B6"/>
    <w:rsid w:val="5A9E0287"/>
    <w:rsid w:val="5EE809E3"/>
    <w:rsid w:val="5EF05EE3"/>
    <w:rsid w:val="6271733B"/>
    <w:rsid w:val="666920D7"/>
    <w:rsid w:val="67515045"/>
    <w:rsid w:val="6A674B7F"/>
    <w:rsid w:val="792C3B64"/>
    <w:rsid w:val="7A9E283F"/>
    <w:rsid w:val="7F080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20833</Words>
  <Characters>22010</Characters>
  <Lines>150</Lines>
  <Paragraphs>42</Paragraphs>
  <TotalTime>10</TotalTime>
  <ScaleCrop>false</ScaleCrop>
  <LinksUpToDate>false</LinksUpToDate>
  <CharactersWithSpaces>22153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2022-04-16T05:34:18Z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7F46D7B5613540B39B558069D9A7433E</vt:lpwstr>
  </property>
  <property fmtid="{D5CDD505-2E9C-101B-9397-08002B2CF9AE}" pid="3" name="KSOProductBuildVer">
    <vt:lpwstr>2052-11.1.0.11365</vt:lpwstr>
  </property>
</Properties>
</file>