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A3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5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28"/>
        <w:gridCol w:w="2510"/>
        <w:gridCol w:w="1277"/>
        <w:gridCol w:w="1493"/>
        <w:gridCol w:w="187"/>
        <w:gridCol w:w="1517"/>
        <w:gridCol w:w="1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2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0" w:name="_GoBack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8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朔州正德科技发展有限公司</w:t>
            </w:r>
          </w:p>
        </w:tc>
        <w:tc>
          <w:tcPr>
            <w:tcW w:w="17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65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r>
              <w:t>18.05.02</w:t>
            </w:r>
          </w:p>
          <w:p>
            <w:pPr>
              <w:jc w:val="left"/>
              <w:rPr>
                <w:b/>
                <w:sz w:val="20"/>
              </w:rPr>
            </w:pPr>
            <w:r>
              <w:t>18.08.00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朱剑锋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80" w:lineRule="exact"/>
              <w:jc w:val="left"/>
            </w:pPr>
            <w:r>
              <w:t>18.05.02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t>18.08.00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5408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39370</wp:posOffset>
                  </wp:positionV>
                  <wp:extent cx="1017905" cy="334645"/>
                  <wp:effectExtent l="0" t="0" r="10795" b="8890"/>
                  <wp:wrapNone/>
                  <wp:docPr id="30" name="图片 3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 contrast="6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60960</wp:posOffset>
                  </wp:positionV>
                  <wp:extent cx="718185" cy="340360"/>
                  <wp:effectExtent l="0" t="0" r="5715" b="2540"/>
                  <wp:wrapNone/>
                  <wp:docPr id="31" name="图片 3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9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71120</wp:posOffset>
                  </wp:positionV>
                  <wp:extent cx="708025" cy="346710"/>
                  <wp:effectExtent l="0" t="0" r="3175" b="9525"/>
                  <wp:wrapNone/>
                  <wp:docPr id="32" name="图片 32" descr="曾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曾正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0"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49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托辊生产：下料---焊接---机加工---组装---试验---喷漆---包装入库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设备维修：清洗---拆解---维修---装配---试验---喷漆---包装入库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349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关键过程：机加工（关键控制点：机加工尺寸偏差）；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需确认过程：焊接（电流；电压；焊丝直径、焊接外观等）；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喷漆（压力；频率；晾干时间；喷漆外观等）。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349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MT 821-2006 煤矿用带式输送机托辊技术条件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MT/T1097-2008</w:t>
            </w:r>
            <w:r>
              <w:rPr>
                <w:rFonts w:hint="eastAsia"/>
                <w:b/>
                <w:sz w:val="20"/>
                <w:lang w:val="en-US" w:eastAsia="zh-CN"/>
              </w:rPr>
              <w:t>煤矿机电设备检修技术规范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49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托辊：外形尺寸、径向圆跳动、轴向载荷、密封性等；在停产一年恢复生产时，工艺变更时，需方对产品质量提出异议时等特定情况下需要进行型式试验。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设备维修：根据客户设备维修要求进行检测维修，出厂须达到客户对尺寸外观等要求。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49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935" distR="114935" simplePos="0" relativeHeight="251668480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31750</wp:posOffset>
                  </wp:positionV>
                  <wp:extent cx="906145" cy="492125"/>
                  <wp:effectExtent l="33020" t="0" r="635" b="75565"/>
                  <wp:wrapNone/>
                  <wp:docPr id="33" name="图片 33" descr="960ea5393ecfcea6bfeca087ba21c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960ea5393ecfcea6bfeca087ba21cc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8B8B6">
                                  <a:alpha val="100000"/>
                                </a:srgbClr>
                              </a:clrFrom>
                              <a:clrTo>
                                <a:srgbClr val="B8B8B6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18000" contrast="30000"/>
                          </a:blip>
                          <a:srcRect l="2160" t="50489" r="9503" b="27340"/>
                          <a:stretch>
                            <a:fillRect/>
                          </a:stretch>
                        </pic:blipFill>
                        <pic:spPr>
                          <a:xfrm rot="540000">
                            <a:off x="0" y="0"/>
                            <a:ext cx="90614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1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950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117475</wp:posOffset>
                  </wp:positionV>
                  <wp:extent cx="1440815" cy="391795"/>
                  <wp:effectExtent l="0" t="0" r="6985" b="1905"/>
                  <wp:wrapNone/>
                  <wp:docPr id="34" name="图片 3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8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74295</wp:posOffset>
                  </wp:positionV>
                  <wp:extent cx="1638300" cy="467995"/>
                  <wp:effectExtent l="0" t="0" r="0" b="0"/>
                  <wp:wrapNone/>
                  <wp:docPr id="45" name="图片 45" descr="2022.4.6-7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2022.4.6-7-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C0C1BC">
                                  <a:alpha val="100000"/>
                                </a:srgbClr>
                              </a:clrFrom>
                              <a:clrTo>
                                <a:srgbClr val="C0C1BC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30000"/>
                          </a:blip>
                          <a:srcRect l="37391" t="2707" r="17613" b="87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朔州正德科技发展有限公司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r>
              <w:t>18.05.02</w:t>
            </w:r>
          </w:p>
          <w:p>
            <w:pPr>
              <w:jc w:val="left"/>
              <w:rPr>
                <w:b/>
                <w:sz w:val="20"/>
              </w:rPr>
            </w:pPr>
            <w:r>
              <w:t>18.08.00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朱剑锋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</w:pPr>
            <w:r>
              <w:t>18.05.02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t>18.08.00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39370</wp:posOffset>
                  </wp:positionV>
                  <wp:extent cx="1017905" cy="334645"/>
                  <wp:effectExtent l="0" t="0" r="10795" b="8890"/>
                  <wp:wrapNone/>
                  <wp:docPr id="10" name="图片 1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 contrast="6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60960</wp:posOffset>
                  </wp:positionV>
                  <wp:extent cx="718185" cy="340360"/>
                  <wp:effectExtent l="0" t="0" r="5715" b="2540"/>
                  <wp:wrapNone/>
                  <wp:docPr id="11" name="图片 1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71120</wp:posOffset>
                  </wp:positionV>
                  <wp:extent cx="708025" cy="346710"/>
                  <wp:effectExtent l="0" t="0" r="3175" b="9525"/>
                  <wp:wrapNone/>
                  <wp:docPr id="12" name="图片 12" descr="曾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曾正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0"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托辊：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下料---焊接---机加工---组装---试验---喷漆---包装入库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设备维修：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清洗---拆解---维修---装配---试验---喷漆---包装入库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火灾的发生、固废、噪声、废气、废水的排放；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火灾的发生：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编制应急预案定期进行火灾演练及应急救援知识的培训。禁止使用大功率等三无标识产品的电器设备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。张贴禁烟禁火警示标示。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制定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管理制度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；采购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选择环保型；生活垃圾集中收集后避雨堆放，交当地环卫部门统一处理。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可回收废品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交废品收购站。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废水性漆桶由生产厂家回收作为原料利用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，危险废物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再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危废间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暂存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，交有资质的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单位收运处置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噪声排放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定期保养设备﹐保证设备无故障运行，减少运行噪声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做好绿化降低厂內噪声水平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；选用低噪声设备；采用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消音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、减震等措施确保厂界噪声达标；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定期进行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噪声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监测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废气排放：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做好生产车间、仓库、办公等场所的排风、空调等排气系统的日常保护工作，对外委托定期维修，严格按操作规程操作，发现问题及时解决，确保排气效果。定期进行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监测；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定期检查环保设备运行状况，生产过程严格按照法规要求开启环保设备。喷漆房排气筒排放的非甲烷总烃采用过滤棉+两级活性炭吸附净化装置处理，达标后经15米高排气筒排放。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废水排放：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生活废水</w:t>
            </w: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经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厂区</w:t>
            </w: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处理后，排入平鲁区污水处理厂；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生产废水</w:t>
            </w: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经隔油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+混凝沉淀</w:t>
            </w: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处理后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回用。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《大气污染物综合排放标准》（GB16297-1996）、《挥发性有机物无组织排放控制标准》（</w:t>
            </w:r>
            <w:r>
              <w:rPr>
                <w:rFonts w:hint="default" w:ascii="宋体" w:hAnsi="宋体" w:cs="Times New Roman"/>
                <w:color w:val="000000"/>
                <w:sz w:val="21"/>
                <w:szCs w:val="21"/>
                <w:lang w:val="en-US" w:eastAsia="zh-CN"/>
              </w:rPr>
              <w:t>GB37822-2019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）、《山西省重点行业挥发性有机物（VOCs）2017年专项治理方案》、</w:t>
            </w:r>
            <w:r>
              <w:rPr>
                <w:rFonts w:hint="default" w:ascii="宋体" w:hAnsi="宋体" w:cs="Times New Roman"/>
                <w:color w:val="000000"/>
                <w:sz w:val="21"/>
                <w:szCs w:val="21"/>
                <w:lang w:val="en-US" w:eastAsia="zh-CN"/>
              </w:rPr>
              <w:t>《地表水环境质量标准》（GB3838-2002）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、《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中华人民共和国环境噪声污染防治法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中华人民共和国消防法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中华人民共和国固体废物污染环境防治法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危险废物转移联单管理办法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朔州市危险废物规范化管理评估工作方案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朔州市突发环境时间应急预案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等相关环境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法律法规的要求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企业应根据当地环保局要求定期进行环境因素监测；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31750</wp:posOffset>
                  </wp:positionV>
                  <wp:extent cx="906145" cy="492125"/>
                  <wp:effectExtent l="33020" t="0" r="635" b="75565"/>
                  <wp:wrapNone/>
                  <wp:docPr id="24" name="图片 24" descr="960ea5393ecfcea6bfeca087ba21c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960ea5393ecfcea6bfeca087ba21cc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8B8B6">
                                  <a:alpha val="100000"/>
                                </a:srgbClr>
                              </a:clrFrom>
                              <a:clrTo>
                                <a:srgbClr val="B8B8B6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18000" contrast="30000"/>
                          </a:blip>
                          <a:srcRect l="2160" t="50489" r="9503" b="27340"/>
                          <a:stretch>
                            <a:fillRect/>
                          </a:stretch>
                        </pic:blipFill>
                        <pic:spPr>
                          <a:xfrm rot="540000">
                            <a:off x="0" y="0"/>
                            <a:ext cx="90614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75648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132080</wp:posOffset>
                  </wp:positionV>
                  <wp:extent cx="1440815" cy="391795"/>
                  <wp:effectExtent l="0" t="0" r="6985" b="1905"/>
                  <wp:wrapNone/>
                  <wp:docPr id="46" name="图片 4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76200</wp:posOffset>
                  </wp:positionV>
                  <wp:extent cx="1638300" cy="467995"/>
                  <wp:effectExtent l="0" t="0" r="0" b="0"/>
                  <wp:wrapNone/>
                  <wp:docPr id="47" name="图片 47" descr="2022.4.6-7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2022.4.6-7-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C0C1BC">
                                  <a:alpha val="100000"/>
                                </a:srgbClr>
                              </a:clrFrom>
                              <a:clrTo>
                                <a:srgbClr val="C0C1BC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60000"/>
                          </a:blip>
                          <a:srcRect l="37391" t="2707" r="17613" b="87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朔州正德科技发展有限公司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r>
              <w:t>18.05.02</w:t>
            </w:r>
          </w:p>
          <w:p>
            <w:pPr>
              <w:jc w:val="left"/>
              <w:rPr>
                <w:b/>
                <w:sz w:val="20"/>
              </w:rPr>
            </w:pPr>
            <w:r>
              <w:t>18.08.00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朱剑锋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</w:pPr>
            <w:r>
              <w:t>18.05.02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t>18.08.00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70528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39370</wp:posOffset>
                  </wp:positionV>
                  <wp:extent cx="1017905" cy="334645"/>
                  <wp:effectExtent l="0" t="0" r="10795" b="8890"/>
                  <wp:wrapNone/>
                  <wp:docPr id="40" name="图片 4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60960</wp:posOffset>
                  </wp:positionV>
                  <wp:extent cx="718185" cy="340360"/>
                  <wp:effectExtent l="0" t="0" r="5715" b="2540"/>
                  <wp:wrapNone/>
                  <wp:docPr id="41" name="图片 4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71120</wp:posOffset>
                  </wp:positionV>
                  <wp:extent cx="708025" cy="346710"/>
                  <wp:effectExtent l="0" t="0" r="3175" b="9525"/>
                  <wp:wrapNone/>
                  <wp:docPr id="42" name="图片 42" descr="曾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曾正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0"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托辊：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下料---焊接---机加工---组装---试验---喷漆---包装入库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设备维修：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清洗---拆解---维修---装配---试验---喷漆---包装入库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</w:t>
            </w:r>
            <w:r>
              <w:rPr>
                <w:rFonts w:hint="eastAsia"/>
                <w:sz w:val="21"/>
                <w:szCs w:val="21"/>
              </w:rPr>
              <w:t>触电事故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火灾、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机械伤害、物体打击、职业病、突发疫情感染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触电事故：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加强管理，定期进行安全用电培训，提高员工安全生产意识，定期检查。增加安全用电标识，触电救援培训等，禁止私拉乱扯电线。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火灾的发生：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编制应急预案定期进行火灾演练及应急救援知识的培训。禁止使用大功率等三无标识产品的电器设备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。张贴禁烟禁火警示标示。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机械伤害：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定期进行工艺、设备操作培训；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进入车间佩戴劳保用品；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禁止酒后进入车间。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物体打击：</w:t>
            </w:r>
            <w:r>
              <w:rPr>
                <w:rFonts w:hint="eastAsia" w:ascii="宋体" w:hAnsi="宋体"/>
                <w:sz w:val="21"/>
                <w:szCs w:val="21"/>
              </w:rPr>
              <w:t>搬运物资轻拿轻放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；生产</w:t>
            </w:r>
            <w:r>
              <w:rPr>
                <w:rFonts w:hint="eastAsia" w:ascii="宋体" w:hAnsi="宋体"/>
                <w:sz w:val="21"/>
                <w:szCs w:val="21"/>
              </w:rPr>
              <w:t>产品储存按标线标识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存</w:t>
            </w:r>
            <w:r>
              <w:rPr>
                <w:rFonts w:hint="eastAsia" w:ascii="宋体" w:hAnsi="宋体"/>
                <w:sz w:val="21"/>
                <w:szCs w:val="21"/>
              </w:rPr>
              <w:t>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定期培训，提高安全意识。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职业病：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选用低噪声设备；配备防护口罩；合理布置噪声源位置、设置配备隔声门；定期进行工艺、设备操作培训；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定期检查环保设备运行状况，生产过程严格按照法规要求开启环保设备。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配备劳保用品；定期组织岗位人员查体。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突发疫情感染：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严格带好口罩、定期消毒；疫情期间不准聚集；严格登记管控外来陌生人；严格遵守政府防控要求 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《中华人民共和国劳动法》、《中华人民共和国消防法》、《中华人民共和国道路交通安全法》、《中华人民共和国职业病防治法》、《职业病危害因素分类目录》、《关于印发用人单位劳动防护用品管理规范的通知》、《中华人民共和国未成年人保护法》、《中华人民共和国安全生产法》、《生产安全事故应急预案管理办法》、《朔州市人民政府安全生产委员会关于建立安全生产“三项制度”“四个一册”的通知》、《关于印发朔州市安全生产事故灾难应急预案的通知》等相关安全法律法规的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935" distR="114935" simplePos="0" relativeHeight="251673600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31750</wp:posOffset>
                  </wp:positionV>
                  <wp:extent cx="906145" cy="492125"/>
                  <wp:effectExtent l="33020" t="0" r="635" b="75565"/>
                  <wp:wrapNone/>
                  <wp:docPr id="43" name="图片 43" descr="960ea5393ecfcea6bfeca087ba21c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960ea5393ecfcea6bfeca087ba21cc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8B8B6">
                                  <a:alpha val="100000"/>
                                </a:srgbClr>
                              </a:clrFrom>
                              <a:clrTo>
                                <a:srgbClr val="B8B8B6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18000" contrast="30000"/>
                          </a:blip>
                          <a:srcRect l="2160" t="50489" r="9503" b="27340"/>
                          <a:stretch>
                            <a:fillRect/>
                          </a:stretch>
                        </pic:blipFill>
                        <pic:spPr>
                          <a:xfrm rot="540000">
                            <a:off x="0" y="0"/>
                            <a:ext cx="90614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7769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132080</wp:posOffset>
                  </wp:positionV>
                  <wp:extent cx="1440815" cy="391795"/>
                  <wp:effectExtent l="0" t="0" r="6985" b="1905"/>
                  <wp:wrapNone/>
                  <wp:docPr id="48" name="图片 48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76200</wp:posOffset>
                  </wp:positionV>
                  <wp:extent cx="1638300" cy="467995"/>
                  <wp:effectExtent l="0" t="0" r="0" b="0"/>
                  <wp:wrapNone/>
                  <wp:docPr id="49" name="图片 49" descr="2022.4.6-7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2022.4.6-7-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C0C1BC">
                                  <a:alpha val="100000"/>
                                </a:srgbClr>
                              </a:clrFrom>
                              <a:clrTo>
                                <a:srgbClr val="C0C1BC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30000"/>
                          </a:blip>
                          <a:srcRect l="37391" t="2707" r="17613" b="87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2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Z/6Ws1wAAAAgBAAAPAAAAAAAAAAEAIAAAACIAAABkcnMvZG93bnJl&#10;di54bWxQSwECFAAUAAAACACHTuJAKvL9j8UBAAB7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7075F"/>
    <w:rsid w:val="121B0114"/>
    <w:rsid w:val="15CC335D"/>
    <w:rsid w:val="4A3B6408"/>
    <w:rsid w:val="61033FC0"/>
    <w:rsid w:val="67845D68"/>
    <w:rsid w:val="73522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2193</Words>
  <Characters>2445</Characters>
  <Lines>2</Lines>
  <Paragraphs>1</Paragraphs>
  <TotalTime>18</TotalTime>
  <ScaleCrop>false</ScaleCrop>
  <LinksUpToDate>false</LinksUpToDate>
  <CharactersWithSpaces>2451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2022-04-06T11:47:00Z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E1C4B4E98A804C5EB108E37C267F0183</vt:lpwstr>
  </property>
  <property fmtid="{D5CDD505-2E9C-101B-9397-08002B2CF9AE}" pid="3" name="KSOProductBuildVer">
    <vt:lpwstr>2052-11.1.0.11365</vt:lpwstr>
  </property>
</Properties>
</file>