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0310-2022-Q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西安美真斯科技有限公司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西安美真斯科技有限公司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陕西省西安市碑林区环城东路5号商务楼F022</w:t>
            </w:r>
            <w:bookmarkEnd w:id="6"/>
          </w:p>
        </w:tc>
        <w:tc>
          <w:tcPr>
            <w:tcW w:w="1242" w:type="dxa"/>
            <w:vMerge w:val="restart"/>
            <w:vAlign w:val="center"/>
          </w:tcPr>
          <w:p>
            <w:r>
              <w:rPr>
                <w:rFonts w:hint="eastAsia"/>
              </w:rPr>
              <w:t>邮编</w:t>
            </w:r>
          </w:p>
        </w:tc>
        <w:tc>
          <w:tcPr>
            <w:tcW w:w="1771" w:type="dxa"/>
          </w:tcPr>
          <w:p>
            <w:bookmarkStart w:id="7" w:name="注册邮编"/>
            <w:r>
              <w:t>710100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陕西省西安市国家民用航天产业基地东长安街501号运维国际大厦11楼110</w:t>
            </w:r>
            <w:r>
              <w:rPr>
                <w:rFonts w:hint="eastAsia"/>
                <w:lang w:val="en-US" w:eastAsia="zh-CN"/>
              </w:rPr>
              <w:t>8</w:t>
            </w:r>
            <w:r>
              <w:t>室</w:t>
            </w:r>
            <w:bookmarkEnd w:id="8"/>
          </w:p>
        </w:tc>
        <w:tc>
          <w:tcPr>
            <w:tcW w:w="1242" w:type="dxa"/>
            <w:vMerge w:val="continue"/>
            <w:vAlign w:val="center"/>
          </w:tcPr>
          <w:p/>
        </w:tc>
        <w:tc>
          <w:tcPr>
            <w:tcW w:w="1771" w:type="dxa"/>
          </w:tcPr>
          <w:p>
            <w:bookmarkStart w:id="9" w:name="办公邮编"/>
            <w:r>
              <w:t>710100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张撰君</w:t>
            </w:r>
            <w:bookmarkEnd w:id="10"/>
          </w:p>
        </w:tc>
        <w:tc>
          <w:tcPr>
            <w:tcW w:w="1313" w:type="dxa"/>
            <w:vAlign w:val="center"/>
          </w:tcPr>
          <w:p>
            <w:r>
              <w:rPr>
                <w:rFonts w:hint="eastAsia"/>
              </w:rPr>
              <w:t>电话.</w:t>
            </w:r>
          </w:p>
        </w:tc>
        <w:tc>
          <w:tcPr>
            <w:tcW w:w="2180" w:type="dxa"/>
            <w:vAlign w:val="center"/>
          </w:tcPr>
          <w:p>
            <w:bookmarkStart w:id="11" w:name="联系人电话"/>
            <w:r>
              <w:t>13572921359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吴恒骏</w:t>
            </w:r>
            <w:bookmarkEnd w:id="13"/>
          </w:p>
        </w:tc>
        <w:tc>
          <w:tcPr>
            <w:tcW w:w="1313" w:type="dxa"/>
            <w:vAlign w:val="center"/>
          </w:tcPr>
          <w:p>
            <w:r>
              <w:rPr>
                <w:rFonts w:hint="eastAsia"/>
              </w:rPr>
              <w:t>管理者代表</w:t>
            </w:r>
          </w:p>
        </w:tc>
        <w:tc>
          <w:tcPr>
            <w:tcW w:w="2180" w:type="dxa"/>
          </w:tcPr>
          <w:p>
            <w:bookmarkStart w:id="14" w:name="管理者代表"/>
            <w:r>
              <w:t>张撰君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rPr>
                <w:rFonts w:hint="eastAsia"/>
              </w:rPr>
            </w:pPr>
            <w:r>
              <w:rPr>
                <w:rFonts w:hint="eastAsia"/>
              </w:rPr>
              <w:t>物联网设备制造流程：</w:t>
            </w:r>
          </w:p>
          <w:p>
            <w:pPr>
              <w:rPr>
                <w:rFonts w:hint="eastAsia"/>
              </w:rPr>
            </w:pPr>
            <w:r>
              <w:rPr>
                <w:rFonts w:hint="eastAsia"/>
              </w:rPr>
              <w:t>收集顾客需求—采购零配件—组装加工—安装调试—包装发货</w:t>
            </w:r>
          </w:p>
          <w:p>
            <w:pPr>
              <w:rPr>
                <w:rFonts w:hint="eastAsia"/>
              </w:rPr>
            </w:pPr>
            <w:r>
              <w:rPr>
                <w:rFonts w:hint="eastAsia"/>
              </w:rPr>
              <w:t>注：安装调试为关键过程。外部过程：壳体加工、电路板印制</w:t>
            </w:r>
          </w:p>
          <w:p>
            <w:pPr>
              <w:rPr>
                <w:rFonts w:hint="eastAsia"/>
              </w:rPr>
            </w:pPr>
            <w:r>
              <w:rPr>
                <w:rFonts w:hint="eastAsia"/>
              </w:rPr>
              <w:t>物联网技术服务流程：</w:t>
            </w:r>
          </w:p>
          <w:p>
            <w:pPr>
              <w:rPr>
                <w:rFonts w:hint="eastAsia"/>
              </w:rPr>
            </w:pPr>
            <w:r>
              <w:rPr>
                <w:rFonts w:hint="eastAsia"/>
              </w:rPr>
              <w:t>客户委托（或市场调研）—下达任务书—资料收集—技术服务—交付</w:t>
            </w:r>
          </w:p>
          <w:p>
            <w:pPr>
              <w:rPr>
                <w:rFonts w:hint="eastAsia"/>
              </w:rPr>
            </w:pPr>
            <w:r>
              <w:rPr>
                <w:rFonts w:hint="eastAsia"/>
              </w:rPr>
              <w:t>软件研发流程：</w:t>
            </w:r>
          </w:p>
          <w:p>
            <w:pPr>
              <w:rPr>
                <w:rFonts w:ascii="Times New Roman" w:hAnsi="Times New Roman" w:eastAsia="宋体" w:cs="Times New Roman"/>
                <w:kern w:val="2"/>
                <w:sz w:val="21"/>
                <w:szCs w:val="24"/>
                <w:lang w:val="en-US" w:eastAsia="zh-CN" w:bidi="ar-SA"/>
              </w:rPr>
            </w:pPr>
            <w:r>
              <w:rPr>
                <w:rFonts w:hint="eastAsia"/>
              </w:rPr>
              <w:t>需求分析—编写软件研发文件—软件编程—测试—交付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2022年04月08日 上午至2022年04月08日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陕西省西安市国家民用航天产业基地东长安街501号运维国际大厦11楼110</w:t>
            </w:r>
            <w:r>
              <w:rPr>
                <w:rFonts w:hint="eastAsia" w:ascii="宋体"/>
                <w:b/>
                <w:color w:val="0000FF"/>
                <w:szCs w:val="21"/>
                <w:lang w:val="en-US" w:eastAsia="zh-CN"/>
              </w:rPr>
              <w:t>8</w:t>
            </w:r>
            <w:r>
              <w:rPr>
                <w:rFonts w:hint="eastAsia" w:ascii="宋体"/>
                <w:b/>
                <w:color w:val="0000FF"/>
                <w:szCs w:val="21"/>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计算机软件的开发、物联网技术服务、物联网设备制造及销售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19.02.00;19.03.00;33.02.01;34.06.00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eastAsia="黑体"/>
                <w:szCs w:val="21"/>
                <w:lang w:val="de-DE" w:eastAsia="ja-JP"/>
              </w:rPr>
              <w:t>西安美真斯科技有限公司</w:t>
            </w:r>
            <w:r>
              <w:rPr>
                <w:rFonts w:hint="eastAsia" w:eastAsia="黑体"/>
                <w:szCs w:val="21"/>
                <w:lang w:val="en-US" w:eastAsia="zh-CN"/>
              </w:rPr>
              <w:t>/陕西省西安市碑林区环城东路5号商务楼F022</w:t>
            </w:r>
          </w:p>
        </w:tc>
        <w:tc>
          <w:tcPr>
            <w:tcW w:w="2267" w:type="dxa"/>
            <w:vAlign w:val="top"/>
          </w:tcPr>
          <w:p>
            <w:pPr>
              <w:spacing w:before="40" w:after="40"/>
              <w:rPr>
                <w:lang w:val="de-DE" w:eastAsia="ja-JP"/>
              </w:rPr>
            </w:pPr>
            <w:r>
              <w:rPr>
                <w:rFonts w:hint="eastAsia" w:eastAsia="黑体"/>
                <w:szCs w:val="21"/>
                <w:lang w:val="de-DE" w:eastAsia="ja-JP"/>
              </w:rPr>
              <w:t>陕西省西安市国家民用航天产业基地东长安街501号运维国际大厦11楼110</w:t>
            </w:r>
            <w:r>
              <w:rPr>
                <w:rFonts w:hint="eastAsia" w:eastAsia="黑体"/>
                <w:szCs w:val="21"/>
                <w:lang w:val="en-US" w:eastAsia="zh-CN"/>
              </w:rPr>
              <w:t>8</w:t>
            </w:r>
            <w:r>
              <w:rPr>
                <w:rFonts w:hint="eastAsia" w:eastAsia="黑体"/>
                <w:szCs w:val="21"/>
                <w:lang w:val="de-DE" w:eastAsia="ja-JP"/>
              </w:rPr>
              <w:t>室</w:t>
            </w:r>
          </w:p>
        </w:tc>
        <w:tc>
          <w:tcPr>
            <w:tcW w:w="571" w:type="dxa"/>
            <w:vAlign w:val="center"/>
          </w:tcPr>
          <w:p>
            <w:pPr>
              <w:spacing w:before="40" w:after="40"/>
              <w:rPr>
                <w:lang w:eastAsia="ja-JP"/>
              </w:rPr>
            </w:pPr>
            <w:r>
              <w:rPr>
                <w:rFonts w:hint="eastAsia" w:eastAsia="黑体"/>
                <w:szCs w:val="21"/>
                <w:lang w:val="en-US" w:eastAsia="zh-CN"/>
              </w:rPr>
              <w:t>15</w:t>
            </w:r>
          </w:p>
        </w:tc>
        <w:tc>
          <w:tcPr>
            <w:tcW w:w="2803" w:type="dxa"/>
            <w:vAlign w:val="center"/>
          </w:tcPr>
          <w:p>
            <w:pPr>
              <w:pStyle w:val="20"/>
              <w:rPr>
                <w:lang w:eastAsia="ja-JP"/>
              </w:rPr>
            </w:pPr>
            <w:r>
              <w:rPr>
                <w:rFonts w:hint="eastAsia" w:eastAsia="黑体" w:cs="Arial"/>
                <w:sz w:val="21"/>
                <w:szCs w:val="21"/>
                <w:lang w:val="en-US" w:eastAsia="ja-JP"/>
              </w:rPr>
              <w:t>计算机软件的开发、物联网技术服务、物联网设备制造及销售</w:t>
            </w:r>
          </w:p>
        </w:tc>
        <w:tc>
          <w:tcPr>
            <w:tcW w:w="669" w:type="dxa"/>
            <w:vAlign w:val="center"/>
          </w:tcPr>
          <w:p>
            <w:pPr>
              <w:spacing w:before="40" w:after="40"/>
              <w:rPr>
                <w:lang w:eastAsia="ja-JP"/>
              </w:rPr>
            </w:pPr>
            <w:r>
              <w:rPr>
                <w:rFonts w:hint="eastAsia" w:eastAsia="黑体"/>
                <w:szCs w:val="21"/>
                <w:lang w:eastAsia="ja-JP"/>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w:char="00FE"/>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33.02.01,34.06.00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李宝花</w:t>
            </w:r>
          </w:p>
        </w:tc>
        <w:tc>
          <w:tcPr>
            <w:tcW w:w="1089" w:type="dxa"/>
            <w:vAlign w:val="center"/>
          </w:tcPr>
          <w:p>
            <w:r>
              <w:t>组员</w:t>
            </w:r>
          </w:p>
        </w:tc>
        <w:tc>
          <w:tcPr>
            <w:tcW w:w="711" w:type="dxa"/>
            <w:vAlign w:val="center"/>
          </w:tcPr>
          <w:p>
            <w:r>
              <w:t>女</w:t>
            </w:r>
          </w:p>
        </w:tc>
        <w:tc>
          <w:tcPr>
            <w:tcW w:w="3870" w:type="dxa"/>
            <w:vAlign w:val="center"/>
          </w:tcPr>
          <w:p>
            <w:r>
              <w:t>2019-N1QMS-1239141</w:t>
            </w:r>
          </w:p>
        </w:tc>
        <w:tc>
          <w:tcPr>
            <w:tcW w:w="2179" w:type="dxa"/>
            <w:vAlign w:val="center"/>
          </w:tcPr>
          <w:p>
            <w:r>
              <w:t>19.02.00,19.03.00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未发现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76200</wp:posOffset>
                  </wp:positionH>
                  <wp:positionV relativeFrom="paragraph">
                    <wp:posOffset>328930</wp:posOffset>
                  </wp:positionV>
                  <wp:extent cx="632460" cy="52451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32460" cy="52451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2022.4.8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最高管理者制定了文件化的管理体系方针：技术创新，规范服务，持续改进，顾客满意。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客户对产品质量标准提高，以及对系统的运行维护服务的期望值提升，给公司</w:t>
                  </w:r>
                  <w:r>
                    <w:t>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rPr>
                      <w:rFonts w:hint="eastAsia" w:ascii="Times New Roman" w:hAnsi="Times New Roman" w:eastAsia="宋体" w:cs="Times New Roman"/>
                      <w:color w:val="000000"/>
                      <w:kern w:val="2"/>
                      <w:sz w:val="21"/>
                      <w:szCs w:val="21"/>
                      <w:lang w:val="en-US" w:eastAsia="zh-CN" w:bidi="ar-SA"/>
                    </w:rPr>
                  </w:pPr>
                  <w:r>
                    <w:rPr>
                      <w:rFonts w:hint="eastAsia"/>
                      <w:color w:val="000000"/>
                      <w:szCs w:val="21"/>
                    </w:rPr>
                    <w:t>产品一次检验合格率≥95％</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000000"/>
                      <w:szCs w:val="21"/>
                    </w:rPr>
                    <w:t>一次检验合格数/生产总数*100%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lang w:val="en-GB"/>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rPr>
                      <w:rFonts w:hint="eastAsia" w:ascii="Times New Roman" w:hAnsi="Times New Roman" w:eastAsia="宋体" w:cs="Times New Roman"/>
                      <w:color w:val="000000"/>
                      <w:kern w:val="2"/>
                      <w:sz w:val="21"/>
                      <w:szCs w:val="21"/>
                      <w:lang w:val="en-US" w:eastAsia="zh-CN" w:bidi="ar-SA"/>
                    </w:rPr>
                  </w:pPr>
                  <w:r>
                    <w:rPr>
                      <w:rFonts w:hint="eastAsia"/>
                      <w:color w:val="000000"/>
                      <w:szCs w:val="21"/>
                    </w:rPr>
                    <w:t>顾客满意度≥90分</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szCs w:val="21"/>
                    </w:rPr>
                    <w:t>根据顾客满意度调查结果统计测评</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tabs>
                      <w:tab w:val="left" w:pos="10080"/>
                    </w:tabs>
                    <w:jc w:val="center"/>
                    <w:rPr>
                      <w:rFonts w:ascii="宋体" w:hAnsi="宋体"/>
                    </w:rPr>
                  </w:pPr>
                  <w:r>
                    <w:rPr>
                      <w:rFonts w:hint="eastAsia"/>
                      <w:szCs w:val="21"/>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pPr>
                  <w:r>
                    <w:rPr>
                      <w:rFonts w:hint="eastAsia"/>
                      <w:color w:val="000000"/>
                      <w:szCs w:val="21"/>
                    </w:rPr>
                    <w:t>产品研发合格率≥95％</w:t>
                  </w:r>
                </w:p>
              </w:tc>
              <w:tc>
                <w:tcPr>
                  <w:tcW w:w="3136" w:type="dxa"/>
                  <w:shd w:val="clear" w:color="auto" w:fill="auto"/>
                  <w:vAlign w:val="center"/>
                </w:tcPr>
                <w:p>
                  <w:pPr>
                    <w:tabs>
                      <w:tab w:val="left" w:pos="10080"/>
                    </w:tabs>
                    <w:rPr>
                      <w:rFonts w:ascii="宋体" w:hAnsi="宋体"/>
                    </w:rPr>
                  </w:pPr>
                  <w:r>
                    <w:rPr>
                      <w:rFonts w:hint="eastAsia" w:ascii="宋体" w:hAnsi="宋体"/>
                      <w:szCs w:val="21"/>
                    </w:rPr>
                    <w:t>产品研发合格数/产品研发总数</w:t>
                  </w:r>
                  <w:r>
                    <w:rPr>
                      <w:rFonts w:hint="eastAsia"/>
                      <w:color w:val="000000"/>
                      <w:szCs w:val="21"/>
                    </w:rPr>
                    <w:t>*100%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研发部</w:t>
                  </w:r>
                </w:p>
              </w:tc>
              <w:tc>
                <w:tcPr>
                  <w:tcW w:w="1774" w:type="dxa"/>
                  <w:shd w:val="clear" w:color="auto" w:fill="auto"/>
                  <w:vAlign w:val="center"/>
                </w:tcPr>
                <w:p>
                  <w:pPr>
                    <w:tabs>
                      <w:tab w:val="left" w:pos="10080"/>
                    </w:tabs>
                    <w:jc w:val="center"/>
                    <w:rPr>
                      <w:rFonts w:ascii="宋体" w:hAnsi="宋体"/>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eastAsia"/>
              </w:rPr>
            </w:pPr>
            <w:r>
              <w:rPr>
                <w:rFonts w:hint="eastAsia"/>
              </w:rPr>
              <w:t>主要生产设备有：计算机电脑、扳手、螺丝刀、万用表、电络铁、手持电钻、剥线钳等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eastAsia="宋体" w:cs="宋体"/>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示波器、万用表、数显卡尺等</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宋体" w:hAnsi="宋体" w:eastAsia="宋体" w:cs="宋体"/>
              </w:rPr>
              <w:t>■</w:t>
            </w:r>
            <w:r>
              <w:rPr>
                <w:rFonts w:hint="eastAsia"/>
              </w:rPr>
              <w:t>进行了定期校准/检定</w:t>
            </w:r>
            <w:r>
              <w:rPr>
                <w:rFonts w:hint="eastAsia"/>
                <w:lang w:val="en-US" w:eastAsia="zh-CN"/>
              </w:rPr>
              <w:t xml:space="preserve">  </w:t>
            </w:r>
            <w:r>
              <w:rPr>
                <w:rFonts w:hint="eastAsia"/>
              </w:rPr>
              <w:t>未进行定期校准/检定的有：</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rPr>
              <w:t>审核期间内设计和开发新产品/项目名称：</w:t>
            </w:r>
            <w:r>
              <w:rPr>
                <w:rFonts w:hint="eastAsia"/>
                <w:color w:val="auto"/>
                <w:u w:val="single"/>
              </w:rPr>
              <w:t>预应力张拉智能远程数据监测系统（</w:t>
            </w:r>
            <w:r>
              <w:rPr>
                <w:rFonts w:hint="eastAsia"/>
                <w:color w:val="auto"/>
              </w:rPr>
              <w:t>举1例）</w:t>
            </w:r>
          </w:p>
          <w:p>
            <w:pPr>
              <w:shd w:val="clear" w:color="auto" w:fill="C7DAF1" w:themeFill="text2" w:themeFillTint="32"/>
              <w:rPr>
                <w:color w:val="auto"/>
              </w:rPr>
            </w:pPr>
            <w:r>
              <w:rPr>
                <w:rFonts w:hint="eastAsia"/>
                <w:color w:val="auto"/>
              </w:rPr>
              <w:t>该项目的设计和开发的输入、输出、变更进行了控制。</w:t>
            </w:r>
            <w:bookmarkStart w:id="34" w:name="_GoBack"/>
            <w:bookmarkEnd w:id="34"/>
          </w:p>
          <w:p>
            <w:pPr>
              <w:shd w:val="clear" w:color="auto" w:fill="C7DAF1" w:themeFill="text2" w:themeFillTint="32"/>
              <w:rPr>
                <w:color w:val="auto"/>
              </w:rPr>
            </w:pPr>
            <w:r>
              <w:rPr>
                <w:rFonts w:hint="eastAsia"/>
                <w:color w:val="auto"/>
              </w:rPr>
              <w:t>设计和开发控制：</w:t>
            </w:r>
            <w:r>
              <w:rPr>
                <w:rFonts w:hint="eastAsia" w:ascii="宋体" w:hAnsi="宋体" w:eastAsia="宋体" w:cs="宋体"/>
                <w:color w:val="auto"/>
              </w:rPr>
              <w:t>■</w:t>
            </w:r>
            <w:r>
              <w:rPr>
                <w:rFonts w:hint="eastAsia"/>
                <w:color w:val="auto"/>
              </w:rPr>
              <w:t>符合要求</w:t>
            </w:r>
            <w:r>
              <w:rPr>
                <w:rFonts w:hint="eastAsia" w:ascii="Wingdings" w:hAnsi="Wingdings"/>
                <w:color w:val="auto"/>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lang w:val="en-US" w:eastAsia="zh-CN"/>
              </w:rPr>
              <w:t xml:space="preserve">   </w:t>
            </w:r>
            <w:r>
              <w:rPr>
                <w:rFonts w:hint="eastAsia"/>
              </w:rPr>
              <w:t>存在不足，说明</w:t>
            </w:r>
            <w:r>
              <w:rPr>
                <w:rFonts w:hint="eastAsia"/>
                <w:lang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eastAsia="宋体"/>
                      <w:lang w:val="en-US" w:eastAsia="zh-CN"/>
                    </w:rPr>
                  </w:pPr>
                  <w:r>
                    <w:rPr>
                      <w:rFonts w:hint="eastAsia"/>
                      <w:lang w:val="en-US" w:eastAsia="zh-CN"/>
                    </w:rPr>
                    <w:t>计算机软件的开发</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软件编程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BUG管理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物联网技术服务</w:t>
                  </w:r>
                </w:p>
              </w:tc>
              <w:tc>
                <w:tcPr>
                  <w:tcW w:w="3665" w:type="dxa"/>
                </w:tcPr>
                <w:p>
                  <w:pPr>
                    <w:shd w:val="clear" w:color="auto" w:fill="C7DAF1" w:themeFill="text2" w:themeFillTint="32"/>
                    <w:jc w:val="left"/>
                  </w:pPr>
                  <w:r>
                    <w:rPr>
                      <w:rFonts w:hint="eastAsia"/>
                      <w:lang w:val="en-US" w:eastAsia="zh-CN"/>
                    </w:rPr>
                    <w:t>技术服务过程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物联网设备制造</w:t>
                  </w:r>
                </w:p>
              </w:tc>
              <w:tc>
                <w:tcPr>
                  <w:tcW w:w="3665" w:type="dxa"/>
                </w:tcPr>
                <w:p>
                  <w:pPr>
                    <w:shd w:val="clear" w:color="auto" w:fill="C7DAF1" w:themeFill="text2" w:themeFillTint="32"/>
                    <w:jc w:val="left"/>
                  </w:pPr>
                  <w:r>
                    <w:rPr>
                      <w:rFonts w:hint="eastAsia"/>
                    </w:rPr>
                    <w:t>安装调试</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测试</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宋体" w:hAnsi="宋体" w:eastAsia="宋体" w:cs="宋体"/>
              </w:rPr>
              <w:t>■</w:t>
            </w:r>
            <w:r>
              <w:rPr>
                <w:rFonts w:hint="eastAsia"/>
              </w:rPr>
              <w:t>标牌</w:t>
            </w:r>
            <w:r>
              <w:rPr>
                <w:rFonts w:hint="eastAsia" w:ascii="宋体" w:hAnsi="宋体" w:eastAsia="宋体" w:cs="宋体"/>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pPr w:leftFromText="180" w:rightFromText="180" w:vertAnchor="text" w:horzAnchor="page" w:tblpX="1067" w:tblpY="178"/>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4.1</w:t>
            </w:r>
          </w:p>
        </w:tc>
        <w:tc>
          <w:tcPr>
            <w:tcW w:w="657" w:type="dxa"/>
            <w:vAlign w:val="center"/>
          </w:tcPr>
          <w:p>
            <w:pPr>
              <w:shd w:val="clear" w:color="auto" w:fill="C7DAF1" w:themeFill="text2" w:themeFillTint="32"/>
              <w:rPr>
                <w:lang w:eastAsia="ja-JP"/>
              </w:rPr>
            </w:pPr>
            <w:r>
              <w:rPr>
                <w:rFonts w:hint="eastAsia"/>
              </w:rPr>
              <w:t>4.2</w:t>
            </w:r>
          </w:p>
        </w:tc>
        <w:tc>
          <w:tcPr>
            <w:tcW w:w="657" w:type="dxa"/>
            <w:vAlign w:val="center"/>
          </w:tcPr>
          <w:p>
            <w:pPr>
              <w:shd w:val="clear" w:color="auto" w:fill="C7DAF1" w:themeFill="text2" w:themeFillTint="32"/>
              <w:rPr>
                <w:lang w:eastAsia="ja-JP"/>
              </w:rPr>
            </w:pPr>
            <w:r>
              <w:rPr>
                <w:rFonts w:hint="eastAsia"/>
              </w:rPr>
              <w:t>4.3</w:t>
            </w:r>
          </w:p>
        </w:tc>
        <w:tc>
          <w:tcPr>
            <w:tcW w:w="656" w:type="dxa"/>
            <w:vAlign w:val="center"/>
          </w:tcPr>
          <w:p>
            <w:pPr>
              <w:shd w:val="clear" w:color="auto" w:fill="C7DAF1" w:themeFill="text2" w:themeFillTint="32"/>
              <w:rPr>
                <w:lang w:eastAsia="ja-JP"/>
              </w:rPr>
            </w:pPr>
            <w:r>
              <w:rPr>
                <w:rFonts w:hint="eastAsia"/>
              </w:rPr>
              <w:t>4.4</w:t>
            </w:r>
          </w:p>
        </w:tc>
        <w:tc>
          <w:tcPr>
            <w:tcW w:w="657" w:type="dxa"/>
            <w:vAlign w:val="center"/>
          </w:tcPr>
          <w:p>
            <w:pPr>
              <w:shd w:val="clear" w:color="auto" w:fill="C7DAF1" w:themeFill="text2" w:themeFillTint="32"/>
              <w:rPr>
                <w:lang w:eastAsia="ja-JP"/>
              </w:rPr>
            </w:pPr>
            <w:r>
              <w:rPr>
                <w:rFonts w:hint="eastAsia"/>
              </w:rPr>
              <w:t>5.1</w:t>
            </w:r>
          </w:p>
        </w:tc>
        <w:tc>
          <w:tcPr>
            <w:tcW w:w="657" w:type="dxa"/>
            <w:vAlign w:val="center"/>
          </w:tcPr>
          <w:p>
            <w:pPr>
              <w:shd w:val="clear" w:color="auto" w:fill="C7DAF1" w:themeFill="text2" w:themeFillTint="32"/>
              <w:rPr>
                <w:lang w:eastAsia="ja-JP"/>
              </w:rPr>
            </w:pPr>
            <w:r>
              <w:rPr>
                <w:rFonts w:hint="eastAsia"/>
              </w:rPr>
              <w:t>5.2</w:t>
            </w:r>
          </w:p>
        </w:tc>
        <w:tc>
          <w:tcPr>
            <w:tcW w:w="656" w:type="dxa"/>
            <w:vAlign w:val="center"/>
          </w:tcPr>
          <w:p>
            <w:pPr>
              <w:shd w:val="clear" w:color="auto" w:fill="C7DAF1" w:themeFill="text2" w:themeFillTint="32"/>
              <w:rPr>
                <w:lang w:eastAsia="ja-JP"/>
              </w:rPr>
            </w:pPr>
            <w:r>
              <w:rPr>
                <w:rFonts w:hint="eastAsia"/>
              </w:rPr>
              <w:t>5.3</w:t>
            </w:r>
          </w:p>
        </w:tc>
        <w:tc>
          <w:tcPr>
            <w:tcW w:w="657" w:type="dxa"/>
            <w:vAlign w:val="center"/>
          </w:tcPr>
          <w:p>
            <w:pPr>
              <w:shd w:val="clear" w:color="auto" w:fill="C7DAF1" w:themeFill="text2" w:themeFillTint="32"/>
              <w:rPr>
                <w:lang w:eastAsia="ja-JP"/>
              </w:rPr>
            </w:pPr>
            <w:r>
              <w:rPr>
                <w:rFonts w:hint="eastAsia"/>
              </w:rPr>
              <w:t>6.1</w:t>
            </w:r>
          </w:p>
        </w:tc>
        <w:tc>
          <w:tcPr>
            <w:tcW w:w="657" w:type="dxa"/>
            <w:vAlign w:val="center"/>
          </w:tcPr>
          <w:p>
            <w:pPr>
              <w:shd w:val="clear" w:color="auto" w:fill="C7DAF1" w:themeFill="text2" w:themeFillTint="32"/>
              <w:rPr>
                <w:lang w:eastAsia="ja-JP"/>
              </w:rPr>
            </w:pPr>
            <w:r>
              <w:rPr>
                <w:rFonts w:hint="eastAsia"/>
              </w:rPr>
              <w:t>6.2</w:t>
            </w:r>
          </w:p>
        </w:tc>
        <w:tc>
          <w:tcPr>
            <w:tcW w:w="656" w:type="dxa"/>
            <w:vAlign w:val="center"/>
          </w:tcPr>
          <w:p>
            <w:pPr>
              <w:shd w:val="clear" w:color="auto" w:fill="C7DAF1" w:themeFill="text2" w:themeFillTint="32"/>
              <w:rPr>
                <w:lang w:eastAsia="ja-JP"/>
              </w:rPr>
            </w:pPr>
            <w:r>
              <w:rPr>
                <w:rFonts w:hint="eastAsia"/>
              </w:rPr>
              <w:t>6.3</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7.1</w:t>
            </w:r>
          </w:p>
        </w:tc>
        <w:tc>
          <w:tcPr>
            <w:tcW w:w="657" w:type="dxa"/>
            <w:vAlign w:val="center"/>
          </w:tcPr>
          <w:p>
            <w:pPr>
              <w:shd w:val="clear" w:color="auto" w:fill="C7DAF1" w:themeFill="text2" w:themeFillTint="32"/>
              <w:rPr>
                <w:lang w:eastAsia="ja-JP"/>
              </w:rPr>
            </w:pPr>
            <w:r>
              <w:rPr>
                <w:rFonts w:hint="eastAsia"/>
              </w:rPr>
              <w:t>7.2</w:t>
            </w:r>
          </w:p>
        </w:tc>
        <w:tc>
          <w:tcPr>
            <w:tcW w:w="657" w:type="dxa"/>
            <w:vAlign w:val="center"/>
          </w:tcPr>
          <w:p>
            <w:pPr>
              <w:shd w:val="clear" w:color="auto" w:fill="C7DAF1" w:themeFill="text2" w:themeFillTint="32"/>
              <w:rPr>
                <w:lang w:eastAsia="ja-JP"/>
              </w:rPr>
            </w:pPr>
            <w:r>
              <w:rPr>
                <w:rFonts w:hint="eastAsia"/>
              </w:rPr>
              <w:t>7.3</w:t>
            </w:r>
          </w:p>
        </w:tc>
        <w:tc>
          <w:tcPr>
            <w:tcW w:w="656" w:type="dxa"/>
            <w:vAlign w:val="center"/>
          </w:tcPr>
          <w:p>
            <w:pPr>
              <w:shd w:val="clear" w:color="auto" w:fill="C7DAF1" w:themeFill="text2" w:themeFillTint="32"/>
              <w:rPr>
                <w:lang w:eastAsia="ja-JP"/>
              </w:rPr>
            </w:pPr>
            <w:r>
              <w:rPr>
                <w:rFonts w:hint="eastAsia"/>
              </w:rPr>
              <w:t>7.4</w:t>
            </w:r>
          </w:p>
        </w:tc>
        <w:tc>
          <w:tcPr>
            <w:tcW w:w="657" w:type="dxa"/>
            <w:vAlign w:val="center"/>
          </w:tcPr>
          <w:p>
            <w:pPr>
              <w:shd w:val="clear" w:color="auto" w:fill="C7DAF1" w:themeFill="text2" w:themeFillTint="32"/>
              <w:rPr>
                <w:lang w:eastAsia="ja-JP"/>
              </w:rPr>
            </w:pPr>
            <w:r>
              <w:rPr>
                <w:rFonts w:hint="eastAsia"/>
              </w:rPr>
              <w:t>7.5</w:t>
            </w:r>
          </w:p>
        </w:tc>
        <w:tc>
          <w:tcPr>
            <w:tcW w:w="657" w:type="dxa"/>
            <w:vAlign w:val="center"/>
          </w:tcPr>
          <w:p>
            <w:pPr>
              <w:shd w:val="clear" w:color="auto" w:fill="C7DAF1" w:themeFill="text2" w:themeFillTint="32"/>
              <w:rPr>
                <w:lang w:eastAsia="ja-JP"/>
              </w:rPr>
            </w:pPr>
            <w:r>
              <w:rPr>
                <w:rFonts w:hint="eastAsia"/>
              </w:rPr>
              <w:t>8.1</w:t>
            </w:r>
          </w:p>
        </w:tc>
        <w:tc>
          <w:tcPr>
            <w:tcW w:w="656" w:type="dxa"/>
            <w:vAlign w:val="center"/>
          </w:tcPr>
          <w:p>
            <w:pPr>
              <w:shd w:val="clear" w:color="auto" w:fill="C7DAF1" w:themeFill="text2" w:themeFillTint="32"/>
              <w:rPr>
                <w:lang w:eastAsia="ja-JP"/>
              </w:rPr>
            </w:pPr>
            <w:r>
              <w:rPr>
                <w:rFonts w:hint="eastAsia"/>
              </w:rPr>
              <w:t>8.2</w:t>
            </w:r>
          </w:p>
        </w:tc>
        <w:tc>
          <w:tcPr>
            <w:tcW w:w="657" w:type="dxa"/>
            <w:vAlign w:val="center"/>
          </w:tcPr>
          <w:p>
            <w:pPr>
              <w:shd w:val="clear" w:color="auto" w:fill="C7DAF1" w:themeFill="text2" w:themeFillTint="32"/>
              <w:rPr>
                <w:lang w:eastAsia="ja-JP"/>
              </w:rPr>
            </w:pPr>
            <w:r>
              <w:rPr>
                <w:rFonts w:hint="eastAsia"/>
              </w:rPr>
              <w:t>8.3</w:t>
            </w:r>
          </w:p>
        </w:tc>
        <w:tc>
          <w:tcPr>
            <w:tcW w:w="657" w:type="dxa"/>
            <w:vAlign w:val="center"/>
          </w:tcPr>
          <w:p>
            <w:pPr>
              <w:shd w:val="clear" w:color="auto" w:fill="C7DAF1" w:themeFill="text2" w:themeFillTint="32"/>
              <w:rPr>
                <w:lang w:eastAsia="ja-JP"/>
              </w:rPr>
            </w:pPr>
            <w:r>
              <w:rPr>
                <w:rFonts w:hint="eastAsia"/>
              </w:rPr>
              <w:t>8.4</w:t>
            </w:r>
          </w:p>
        </w:tc>
        <w:tc>
          <w:tcPr>
            <w:tcW w:w="656" w:type="dxa"/>
            <w:vAlign w:val="center"/>
          </w:tcPr>
          <w:p>
            <w:pPr>
              <w:shd w:val="clear" w:color="auto" w:fill="C7DAF1" w:themeFill="text2" w:themeFillTint="32"/>
              <w:rPr>
                <w:lang w:eastAsia="ja-JP"/>
              </w:rPr>
            </w:pPr>
            <w:r>
              <w:rPr>
                <w:rFonts w:hint="eastAsia"/>
              </w:rPr>
              <w:t>8.5</w:t>
            </w:r>
          </w:p>
        </w:tc>
        <w:tc>
          <w:tcPr>
            <w:tcW w:w="657" w:type="dxa"/>
            <w:vAlign w:val="center"/>
          </w:tcPr>
          <w:p>
            <w:pPr>
              <w:shd w:val="clear" w:color="auto" w:fill="C7DAF1" w:themeFill="text2" w:themeFillTint="32"/>
              <w:rPr>
                <w:lang w:eastAsia="ja-JP"/>
              </w:rPr>
            </w:pPr>
            <w:r>
              <w:rPr>
                <w:rFonts w:hint="eastAsia"/>
              </w:rPr>
              <w:t>8.6</w:t>
            </w:r>
          </w:p>
        </w:tc>
        <w:tc>
          <w:tcPr>
            <w:tcW w:w="657"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rFonts w:hint="eastAsia" w:eastAsia="宋体"/>
                <w:lang w:val="en-US" w:eastAsia="zh-CN"/>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9.1</w:t>
            </w:r>
          </w:p>
        </w:tc>
        <w:tc>
          <w:tcPr>
            <w:tcW w:w="657" w:type="dxa"/>
            <w:vAlign w:val="center"/>
          </w:tcPr>
          <w:p>
            <w:pPr>
              <w:shd w:val="clear" w:color="auto" w:fill="C7DAF1" w:themeFill="text2" w:themeFillTint="32"/>
              <w:rPr>
                <w:lang w:eastAsia="ja-JP"/>
              </w:rPr>
            </w:pPr>
            <w:r>
              <w:rPr>
                <w:rFonts w:hint="eastAsia"/>
              </w:rPr>
              <w:t>9.2</w:t>
            </w:r>
          </w:p>
        </w:tc>
        <w:tc>
          <w:tcPr>
            <w:tcW w:w="657" w:type="dxa"/>
            <w:vAlign w:val="center"/>
          </w:tcPr>
          <w:p>
            <w:pPr>
              <w:shd w:val="clear" w:color="auto" w:fill="C7DAF1" w:themeFill="text2" w:themeFillTint="32"/>
              <w:rPr>
                <w:lang w:eastAsia="ja-JP"/>
              </w:rPr>
            </w:pPr>
            <w:r>
              <w:rPr>
                <w:rFonts w:hint="eastAsia"/>
              </w:rPr>
              <w:t>9.3</w:t>
            </w:r>
          </w:p>
        </w:tc>
        <w:tc>
          <w:tcPr>
            <w:tcW w:w="656" w:type="dxa"/>
            <w:vAlign w:val="center"/>
          </w:tcPr>
          <w:p>
            <w:pPr>
              <w:shd w:val="clear" w:color="auto" w:fill="C7DAF1" w:themeFill="text2" w:themeFillTint="32"/>
              <w:rPr>
                <w:lang w:eastAsia="ja-JP"/>
              </w:rPr>
            </w:pPr>
            <w:r>
              <w:rPr>
                <w:rFonts w:hint="eastAsia"/>
              </w:rPr>
              <w:t>10.1</w:t>
            </w:r>
          </w:p>
        </w:tc>
        <w:tc>
          <w:tcPr>
            <w:tcW w:w="657" w:type="dxa"/>
            <w:vAlign w:val="center"/>
          </w:tcPr>
          <w:p>
            <w:pPr>
              <w:shd w:val="clear" w:color="auto" w:fill="C7DAF1" w:themeFill="text2" w:themeFillTint="32"/>
              <w:rPr>
                <w:lang w:eastAsia="ja-JP"/>
              </w:rPr>
            </w:pPr>
            <w:r>
              <w:rPr>
                <w:rFonts w:hint="eastAsia"/>
              </w:rPr>
              <w:t>10.2</w:t>
            </w:r>
          </w:p>
        </w:tc>
        <w:tc>
          <w:tcPr>
            <w:tcW w:w="657" w:type="dxa"/>
            <w:vAlign w:val="center"/>
          </w:tcPr>
          <w:p>
            <w:pPr>
              <w:shd w:val="clear" w:color="auto" w:fill="C7DAF1" w:themeFill="text2" w:themeFillTint="32"/>
              <w:rPr>
                <w:lang w:eastAsia="ja-JP"/>
              </w:rPr>
            </w:pPr>
            <w:r>
              <w:rPr>
                <w:rFonts w:hint="eastAsia"/>
              </w:rPr>
              <w:t>10.3</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0B0AD1"/>
    <w:rsid w:val="0C165A3C"/>
    <w:rsid w:val="1FC61CE9"/>
    <w:rsid w:val="3B8F05EB"/>
    <w:rsid w:val="508023C1"/>
    <w:rsid w:val="6C643A6C"/>
    <w:rsid w:val="71CF7985"/>
    <w:rsid w:val="73B708F3"/>
    <w:rsid w:val="74C022AC"/>
    <w:rsid w:val="7AB54A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2022-04-18T10:19:33Z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