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0282-2021-QEO-2022</w:t>
      </w:r>
      <w:bookmarkEnd w:id="0"/>
    </w:p>
    <w:p>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启迪城服（杭州）环境科技有限公司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启迪城服（杭州）环境科技有限公司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浙江省杭州市萧山区城厢街道湘湖路36-12号</w:t>
            </w:r>
          </w:p>
        </w:tc>
        <w:tc>
          <w:tcPr>
            <w:tcW w:w="1242" w:type="dxa"/>
            <w:vMerge w:val="restart"/>
            <w:vAlign w:val="center"/>
          </w:tcPr>
          <w:p>
            <w:r>
              <w:rPr>
                <w:rFonts w:hint="eastAsia"/>
              </w:rPr>
              <w:t>邮编</w:t>
            </w:r>
          </w:p>
        </w:tc>
        <w:tc>
          <w:tcPr>
            <w:tcW w:w="1771" w:type="dxa"/>
          </w:tcPr>
          <w:p>
            <w:bookmarkStart w:id="6" w:name="注册邮编"/>
            <w:r>
              <w:t>310000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注册地址"/>
            <w:r>
              <w:rPr>
                <w:rFonts w:asciiTheme="minorEastAsia" w:hAnsiTheme="minorEastAsia" w:eastAsiaTheme="minorEastAsia"/>
                <w:sz w:val="20"/>
              </w:rPr>
              <w:t>浙江省杭州市萧山区城厢街道湘湖路36-12号</w:t>
            </w:r>
            <w:bookmarkEnd w:id="7"/>
          </w:p>
        </w:tc>
        <w:tc>
          <w:tcPr>
            <w:tcW w:w="1242" w:type="dxa"/>
            <w:vMerge w:val="continue"/>
            <w:vAlign w:val="center"/>
          </w:tcPr>
          <w:p/>
        </w:tc>
        <w:tc>
          <w:tcPr>
            <w:tcW w:w="1771" w:type="dxa"/>
          </w:tcPr>
          <w:p>
            <w:bookmarkStart w:id="8" w:name="办公邮编"/>
            <w:r>
              <w:t>310000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王益枫</w:t>
            </w:r>
            <w:bookmarkEnd w:id="9"/>
          </w:p>
        </w:tc>
        <w:tc>
          <w:tcPr>
            <w:tcW w:w="1313" w:type="dxa"/>
            <w:vAlign w:val="center"/>
          </w:tcPr>
          <w:p>
            <w:r>
              <w:rPr>
                <w:rFonts w:hint="eastAsia"/>
              </w:rPr>
              <w:t>电话.</w:t>
            </w:r>
          </w:p>
        </w:tc>
        <w:tc>
          <w:tcPr>
            <w:tcW w:w="2180" w:type="dxa"/>
            <w:vAlign w:val="center"/>
          </w:tcPr>
          <w:p>
            <w:bookmarkStart w:id="10" w:name="联系人电话"/>
            <w:r>
              <w:t>13758259532</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田月华</w:t>
            </w:r>
            <w:bookmarkEnd w:id="12"/>
          </w:p>
        </w:tc>
        <w:tc>
          <w:tcPr>
            <w:tcW w:w="1313" w:type="dxa"/>
            <w:vAlign w:val="center"/>
          </w:tcPr>
          <w:p>
            <w:r>
              <w:rPr>
                <w:rFonts w:hint="eastAsia"/>
              </w:rPr>
              <w:t>管理者代表</w:t>
            </w:r>
          </w:p>
        </w:tc>
        <w:tc>
          <w:tcPr>
            <w:tcW w:w="2180" w:type="dxa"/>
          </w:tcPr>
          <w:p>
            <w:bookmarkStart w:id="13" w:name="管理者代表"/>
            <w:r>
              <w:t>王益枫</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3"/>
              <w:jc w:val="left"/>
              <w:rPr>
                <w:rFonts w:hint="default"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城市生活垃圾分类管理流程：签订社区服务合同→制定社区垃圾分类管理服务方案→投放垃圾分类箱→宣传垃圾分类知识→定投督导服务。</w:t>
            </w:r>
          </w:p>
          <w:p>
            <w:pPr>
              <w:spacing w:line="280" w:lineRule="exact"/>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再生资源销售服务：街道/办公楼/村落→统一存放→分类→联系销售→结算</w:t>
            </w:r>
          </w:p>
          <w:p>
            <w:pPr>
              <w:pStyle w:val="4"/>
            </w:pPr>
            <w:r>
              <w:rPr>
                <w:rFonts w:hint="eastAsia" w:ascii="Times New Roman" w:hAnsi="Times New Roman" w:eastAsia="宋体" w:cs="Times New Roman"/>
                <w:b w:val="0"/>
                <w:bCs w:val="0"/>
                <w:kern w:val="2"/>
                <w:sz w:val="21"/>
                <w:szCs w:val="24"/>
                <w:lang w:val="en-US" w:eastAsia="zh-CN" w:bidi="ar-SA"/>
              </w:rPr>
              <w:t>软件开发：市场调研→顾客需求→项目评审→项目立项→设计开发策划→设计开发输入、评审→设计开发过程→设计开发验证/确认→设计开发输出、评审→研发成果应用→售后服务</w:t>
            </w:r>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vAlign w:val="top"/>
          </w:tcPr>
          <w:p>
            <w:r>
              <w:rPr>
                <w:rFonts w:hint="eastAsia"/>
              </w:rPr>
              <w:t>2022年04月06日 上午至2022年04月07日 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4" w:name="Q勾选Add1"/>
            <w:r>
              <w:rPr>
                <w:rFonts w:hint="eastAsia"/>
                <w:lang w:val="de-DE"/>
              </w:rPr>
              <w:t>■</w:t>
            </w:r>
            <w:bookmarkEnd w:id="14"/>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5" w:name="QJ勾选Add1"/>
            <w:r>
              <w:rPr>
                <w:rFonts w:hint="eastAsia"/>
                <w:lang w:val="de-DE"/>
              </w:rPr>
              <w:t>□</w:t>
            </w:r>
            <w:bookmarkEnd w:id="15"/>
            <w:r>
              <w:rPr>
                <w:rFonts w:hint="eastAsia"/>
                <w:lang w:val="de-DE"/>
              </w:rPr>
              <w:t>GB/T 50430-2017</w:t>
            </w:r>
          </w:p>
          <w:p>
            <w:pPr>
              <w:rPr>
                <w:lang w:val="de-DE"/>
              </w:rPr>
            </w:pPr>
            <w:bookmarkStart w:id="16" w:name="E勾选Add1"/>
            <w:r>
              <w:rPr>
                <w:rFonts w:hint="eastAsia"/>
                <w:lang w:val="de-DE"/>
              </w:rPr>
              <w:t>■</w:t>
            </w:r>
            <w:bookmarkEnd w:id="16"/>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7" w:name="S勾选Add1"/>
            <w:r>
              <w:rPr>
                <w:rFonts w:hint="eastAsia"/>
                <w:lang w:val="de-DE"/>
              </w:rPr>
              <w:t>■</w:t>
            </w:r>
            <w:bookmarkEnd w:id="17"/>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8" w:name="二阶段勾选"/>
            <w:r>
              <w:rPr>
                <w:rFonts w:hint="eastAsia"/>
              </w:rPr>
              <w:t>□</w:t>
            </w:r>
            <w:bookmarkEnd w:id="18"/>
            <w:r>
              <w:rPr>
                <w:rFonts w:hint="eastAsia"/>
              </w:rPr>
              <w:t>初审二阶段</w:t>
            </w:r>
            <w:bookmarkStart w:id="19" w:name="监督勾选Add1"/>
            <w:r>
              <w:rPr>
                <w:rFonts w:hint="eastAsia"/>
              </w:rPr>
              <w:t>□</w:t>
            </w:r>
            <w:bookmarkEnd w:id="19"/>
            <w:r>
              <w:rPr>
                <w:rFonts w:hint="eastAsia"/>
              </w:rPr>
              <w:t>监督第</w:t>
            </w:r>
            <w:bookmarkStart w:id="20" w:name="监督次数"/>
            <w:bookmarkEnd w:id="20"/>
            <w:r>
              <w:rPr>
                <w:rFonts w:hint="eastAsia"/>
              </w:rPr>
              <w:t>次监督审核</w:t>
            </w:r>
            <w:bookmarkStart w:id="21" w:name="再认证勾选"/>
            <w:r>
              <w:rPr>
                <w:rFonts w:hint="eastAsia"/>
              </w:rPr>
              <w:t>□</w:t>
            </w:r>
            <w:bookmarkEnd w:id="21"/>
            <w:r>
              <w:rPr>
                <w:rFonts w:hint="eastAsia"/>
              </w:rPr>
              <w:t>再认证</w:t>
            </w:r>
            <w:r>
              <w:rPr>
                <w:rFonts w:hint="eastAsia"/>
              </w:rPr>
              <w:sym w:font="Wingdings 2" w:char="0052"/>
            </w:r>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浙江省杭州市萧山区城厢街道湘湖路36-12号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2" w:name="审核范围"/>
            <w:r>
              <w:t>Q：城市生活垃圾分类、再生资源销售、环卫平台软件开发及销售</w:t>
            </w:r>
          </w:p>
          <w:p>
            <w:r>
              <w:t>E：城市生活垃圾分类、再生资源销售、环卫平台软件开发及销售所涉及场所的相关环境管理活动</w:t>
            </w:r>
          </w:p>
          <w:p>
            <w:r>
              <w:t>O：城市生活垃圾分类、再生资源销售、环卫平台软件开发及销售所涉及场所的相关职业健康安全管理活动</w:t>
            </w:r>
            <w:bookmarkEnd w:id="22"/>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3" w:name="专业代码"/>
            <w:r>
              <w:t>Q：24.01.02;29.12.00;33.02.01</w:t>
            </w:r>
          </w:p>
          <w:p>
            <w:r>
              <w:t>E：24.01.02;29.12.00;33.02.01</w:t>
            </w:r>
          </w:p>
          <w:p>
            <w:r>
              <w:t>O：24.01.02;29.12.00;33.02.01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A3"/>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w:t>
            </w:r>
            <w:r>
              <w:rPr>
                <w:rFonts w:hint="eastAsia"/>
                <w:lang w:val="en-US" w:eastAsia="zh-CN"/>
              </w:rPr>
              <w:t>9</w:t>
            </w:r>
            <w:r>
              <w:rPr>
                <w:rFonts w:hint="eastAsia"/>
              </w:rPr>
              <w:t>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4</w:t>
            </w:r>
            <w:r>
              <w:rPr>
                <w:rFonts w:hint="eastAsia"/>
              </w:rPr>
              <w:t>月</w:t>
            </w:r>
            <w:r>
              <w:rPr>
                <w:rFonts w:hint="eastAsia"/>
                <w:lang w:val="en-US" w:eastAsia="zh-CN"/>
              </w:rPr>
              <w:t>11</w:t>
            </w:r>
            <w:r>
              <w:rPr>
                <w:rFonts w:hint="eastAsia"/>
              </w:rPr>
              <w:t>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46"/>
        <w:gridCol w:w="92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546" w:type="dxa"/>
            <w:shd w:val="clear" w:color="auto" w:fill="F3F3F3"/>
            <w:tcMar>
              <w:left w:w="57" w:type="dxa"/>
              <w:right w:w="57" w:type="dxa"/>
            </w:tcMar>
          </w:tcPr>
          <w:p>
            <w:r>
              <w:rPr>
                <w:rFonts w:hint="eastAsia"/>
              </w:rPr>
              <w:t>审核范围（产品和过程）</w:t>
            </w:r>
          </w:p>
          <w:p/>
          <w:p/>
        </w:tc>
        <w:tc>
          <w:tcPr>
            <w:tcW w:w="92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启迪城服（杭州）环境科技有限公司</w:t>
            </w:r>
          </w:p>
          <w:p>
            <w:pPr>
              <w:pStyle w:val="11"/>
              <w:ind w:left="0" w:leftChars="0" w:firstLine="0" w:firstLineChars="0"/>
              <w:rPr>
                <w:lang w:val="de-DE" w:eastAsia="ja-JP"/>
              </w:rPr>
            </w:pPr>
            <w:r>
              <w:rPr>
                <w:rFonts w:hint="eastAsia" w:asciiTheme="minorEastAsia" w:hAnsiTheme="minorEastAsia" w:eastAsiaTheme="minorEastAsia"/>
                <w:sz w:val="20"/>
                <w:lang w:eastAsia="zh-CN"/>
              </w:rPr>
              <w:t>浙江省杭州市萧山区城厢街道湘湖路36-12号</w:t>
            </w:r>
          </w:p>
        </w:tc>
        <w:tc>
          <w:tcPr>
            <w:tcW w:w="2267" w:type="dxa"/>
          </w:tcPr>
          <w:p>
            <w:pPr>
              <w:rPr>
                <w:lang w:val="de-DE" w:eastAsia="ja-JP"/>
              </w:rPr>
            </w:pPr>
            <w:r>
              <w:rPr>
                <w:rFonts w:hint="eastAsia" w:asciiTheme="minorEastAsia" w:hAnsiTheme="minorEastAsia" w:eastAsiaTheme="minorEastAsia"/>
                <w:sz w:val="20"/>
                <w:lang w:eastAsia="zh-CN"/>
              </w:rPr>
              <w:t>浙江省杭州市萧山区城厢街道湘湖路36-12号</w:t>
            </w:r>
          </w:p>
        </w:tc>
        <w:tc>
          <w:tcPr>
            <w:tcW w:w="571" w:type="dxa"/>
            <w:vAlign w:val="center"/>
          </w:tcPr>
          <w:p>
            <w:pPr>
              <w:rPr>
                <w:rFonts w:hint="default" w:eastAsia="宋体"/>
                <w:lang w:val="en-US" w:eastAsia="zh-CN"/>
              </w:rPr>
            </w:pPr>
            <w:r>
              <w:rPr>
                <w:rFonts w:hint="eastAsia"/>
                <w:lang w:val="en-US" w:eastAsia="zh-CN"/>
              </w:rPr>
              <w:t>45</w:t>
            </w:r>
          </w:p>
        </w:tc>
        <w:tc>
          <w:tcPr>
            <w:tcW w:w="2546" w:type="dxa"/>
            <w:vAlign w:val="center"/>
          </w:tcPr>
          <w:p>
            <w:r>
              <w:t>Q：城市生活垃圾分类、再生资源销售、环卫平台软件开发及销售</w:t>
            </w:r>
          </w:p>
          <w:p>
            <w:r>
              <w:t>E：城市生活垃圾分类、再生资源销售、环卫平台软件开发及销售所涉及场所的相关环境管理活动</w:t>
            </w:r>
          </w:p>
          <w:p>
            <w:pPr>
              <w:rPr>
                <w:lang w:eastAsia="ja-JP"/>
              </w:rPr>
            </w:pPr>
            <w:r>
              <w:t>O：城市生活垃圾分类、再生资源销售、环卫平台软件开发及销售所涉及场所的相关职业健康安全管理活动</w:t>
            </w:r>
          </w:p>
        </w:tc>
        <w:tc>
          <w:tcPr>
            <w:tcW w:w="926" w:type="dxa"/>
            <w:vAlign w:val="center"/>
          </w:tcPr>
          <w:p>
            <w:pPr>
              <w:rPr>
                <w:lang w:eastAsia="ja-JP"/>
              </w:rPr>
            </w:pPr>
            <w:bookmarkStart w:id="24" w:name="审核依据"/>
            <w:r>
              <w:rPr>
                <w:rFonts w:ascii="宋体" w:hAnsi="宋体" w:cs="宋体"/>
                <w:color w:val="000000"/>
                <w:kern w:val="0"/>
                <w:szCs w:val="21"/>
              </w:rPr>
              <w:t>O：GB/T45001-2020,E：GB/T 24001-2016,Q：GB/T19001-2016</w:t>
            </w:r>
            <w:bookmarkEnd w:id="24"/>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6" w:type="dxa"/>
            <w:vAlign w:val="center"/>
          </w:tcPr>
          <w:p>
            <w:pPr>
              <w:rPr>
                <w:lang w:eastAsia="ja-JP"/>
              </w:rPr>
            </w:pPr>
          </w:p>
        </w:tc>
        <w:tc>
          <w:tcPr>
            <w:tcW w:w="9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6" w:type="dxa"/>
            <w:vAlign w:val="center"/>
          </w:tcPr>
          <w:p>
            <w:pPr>
              <w:rPr>
                <w:lang w:eastAsia="ja-JP"/>
              </w:rPr>
            </w:pPr>
          </w:p>
        </w:tc>
        <w:tc>
          <w:tcPr>
            <w:tcW w:w="92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546" w:type="dxa"/>
            <w:vAlign w:val="center"/>
          </w:tcPr>
          <w:p>
            <w:pPr>
              <w:rPr>
                <w:lang w:eastAsia="ja-JP"/>
              </w:rPr>
            </w:pPr>
          </w:p>
        </w:tc>
        <w:tc>
          <w:tcPr>
            <w:tcW w:w="926" w:type="dxa"/>
            <w:vAlign w:val="center"/>
          </w:tcPr>
          <w:p>
            <w:pPr>
              <w:rPr>
                <w:lang w:eastAsia="ja-JP"/>
              </w:rPr>
            </w:pPr>
          </w:p>
        </w:tc>
        <w:tc>
          <w:tcPr>
            <w:tcW w:w="668" w:type="dxa"/>
            <w:shd w:val="clear" w:color="auto" w:fill="FFFFFF"/>
          </w:tcPr>
          <w:p>
            <w:r>
              <w:rPr>
                <w:rFonts w:hint="eastAsia"/>
              </w:rPr>
              <w:t>☐</w:t>
            </w:r>
          </w:p>
        </w:tc>
      </w:tr>
    </w:tbl>
    <w:p>
      <w:r>
        <w:rPr>
          <w:rFonts w:hint="eastAsia"/>
        </w:rPr>
        <w:t>三、任何影响审核方案的重要事项：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r>
              <w:t>Q:29.12.00</w:t>
            </w:r>
          </w:p>
          <w:p>
            <w:r>
              <w:t>E:29.12.00,33.02.01</w:t>
            </w:r>
          </w:p>
          <w:p>
            <w:r>
              <w:t>O:29.12.00,33.02.01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王献华</w:t>
            </w:r>
            <w:r>
              <w:rPr>
                <w:rFonts w:hint="eastAsia"/>
                <w:lang w:eastAsia="zh-CN"/>
              </w:rPr>
              <w:t>（</w:t>
            </w:r>
            <w:r>
              <w:rPr>
                <w:rFonts w:hint="eastAsia"/>
                <w:lang w:val="en-US" w:eastAsia="zh-CN"/>
              </w:rPr>
              <w:t>远程）</w:t>
            </w:r>
          </w:p>
        </w:tc>
        <w:tc>
          <w:tcPr>
            <w:tcW w:w="1089" w:type="dxa"/>
            <w:vAlign w:val="center"/>
          </w:tcPr>
          <w:p>
            <w:r>
              <w:t>组员</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r>
              <w:t>王建红</w:t>
            </w:r>
          </w:p>
        </w:tc>
        <w:tc>
          <w:tcPr>
            <w:tcW w:w="1089" w:type="dxa"/>
            <w:vAlign w:val="center"/>
          </w:tcPr>
          <w:p>
            <w:r>
              <w:t>组员</w:t>
            </w:r>
          </w:p>
        </w:tc>
        <w:tc>
          <w:tcPr>
            <w:tcW w:w="711" w:type="dxa"/>
            <w:vAlign w:val="center"/>
          </w:tcPr>
          <w:p>
            <w:r>
              <w:t>女</w:t>
            </w:r>
          </w:p>
        </w:tc>
        <w:tc>
          <w:tcPr>
            <w:tcW w:w="3870" w:type="dxa"/>
            <w:vAlign w:val="center"/>
          </w:tcPr>
          <w:p>
            <w:r>
              <w:t>ISC-JSZJ-389</w:t>
            </w:r>
          </w:p>
          <w:p>
            <w:r>
              <w:t>ISC-JSZJ-389</w:t>
            </w:r>
          </w:p>
          <w:p>
            <w:r>
              <w:t>ISC-JSZJ-389</w:t>
            </w:r>
          </w:p>
          <w:p>
            <w:r>
              <w:t>杭州邦凝生态环境建设发展有限公司</w:t>
            </w:r>
          </w:p>
        </w:tc>
        <w:tc>
          <w:tcPr>
            <w:tcW w:w="2179" w:type="dxa"/>
            <w:vAlign w:val="center"/>
          </w:tcPr>
          <w:p>
            <w:r>
              <w:t>Q:24.01.02</w:t>
            </w:r>
          </w:p>
          <w:p>
            <w:r>
              <w:t>E:24.01.02</w:t>
            </w:r>
          </w:p>
          <w:p>
            <w:r>
              <w:t>O:24.01.02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r>
              <w:t>孙朋飞</w:t>
            </w:r>
          </w:p>
        </w:tc>
        <w:tc>
          <w:tcPr>
            <w:tcW w:w="1089" w:type="dxa"/>
            <w:vAlign w:val="center"/>
          </w:tcPr>
          <w:p>
            <w:r>
              <w:t>组员</w:t>
            </w:r>
          </w:p>
        </w:tc>
        <w:tc>
          <w:tcPr>
            <w:tcW w:w="711" w:type="dxa"/>
            <w:vAlign w:val="center"/>
          </w:tcPr>
          <w:p>
            <w:r>
              <w:t>男</w:t>
            </w:r>
          </w:p>
        </w:tc>
        <w:tc>
          <w:tcPr>
            <w:tcW w:w="3870" w:type="dxa"/>
            <w:vAlign w:val="center"/>
          </w:tcPr>
          <w:p>
            <w:r>
              <w:t>ISC-JSZJ-273</w:t>
            </w:r>
          </w:p>
          <w:p>
            <w:r>
              <w:t>ISC-JSZJ-273</w:t>
            </w:r>
          </w:p>
          <w:p>
            <w:r>
              <w:t>ISC-JSZJ-273</w:t>
            </w:r>
          </w:p>
          <w:p>
            <w:r>
              <w:t>浙江科进英华信息技术有限公司</w:t>
            </w:r>
          </w:p>
        </w:tc>
        <w:tc>
          <w:tcPr>
            <w:tcW w:w="2179" w:type="dxa"/>
            <w:vAlign w:val="center"/>
          </w:tcPr>
          <w:p>
            <w:r>
              <w:t>Q:33.02.01</w:t>
            </w:r>
          </w:p>
          <w:p>
            <w:r>
              <w:t>E:33.02.01</w:t>
            </w:r>
          </w:p>
          <w:p>
            <w:r>
              <w:t>O:33.02.01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针对上次审核不符合相：“</w:t>
            </w:r>
            <w:r>
              <w:rPr>
                <w:rFonts w:hint="eastAsia" w:ascii="Times New Roman" w:hAnsi="Times New Roman" w:eastAsia="宋体" w:cs="Times New Roman"/>
                <w:lang w:val="en-US" w:eastAsia="zh-CN"/>
              </w:rPr>
              <w:t>未对企业员工进行贯标培训和内审员培训”</w:t>
            </w:r>
            <w:r>
              <w:rPr>
                <w:rFonts w:hint="eastAsia"/>
                <w:lang w:val="en-US" w:eastAsia="zh-CN"/>
              </w:rPr>
              <w:t>，现场查看已整改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restart"/>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vMerge w:val="continue"/>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vMerge w:val="continue"/>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5" w:name="Q勾选Add2"/>
            <w:r>
              <w:rPr>
                <w:rFonts w:hint="eastAsia"/>
              </w:rPr>
              <w:t>■</w:t>
            </w:r>
            <w:bookmarkEnd w:id="2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2"/>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0288" behindDoc="0" locked="0" layoutInCell="1" allowOverlap="1">
                  <wp:simplePos x="0" y="0"/>
                  <wp:positionH relativeFrom="column">
                    <wp:posOffset>347980</wp:posOffset>
                  </wp:positionH>
                  <wp:positionV relativeFrom="paragraph">
                    <wp:posOffset>27940</wp:posOffset>
                  </wp:positionV>
                  <wp:extent cx="718820" cy="323215"/>
                  <wp:effectExtent l="0" t="0" r="5080" b="6985"/>
                  <wp:wrapNone/>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718820" cy="32321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rPr>
          <w:shd w:val="clear" w:color="FFFFFF" w:fill="D9D9D9"/>
          <w:lang w:eastAsia="zh-CN"/>
        </w:rPr>
      </w:pPr>
      <w:r>
        <w:rPr>
          <w:shd w:val="clear" w:color="FFFFFF" w:fill="D9D9D9"/>
          <w:lang w:eastAsia="zh-CN"/>
        </w:rPr>
        <w:t>附件ISO 9001:2015 (若不是ISO 9001:2015审核请删除)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3"/>
              <w:tblpPr w:leftFromText="180" w:rightFromText="180" w:vertAnchor="text" w:horzAnchor="page" w:tblpX="98" w:tblpY="296"/>
              <w:tblOverlap w:val="never"/>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4513"/>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51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主管部门</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遵守质量相关的法律法规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000000" w:themeColor="text1"/>
                      <w:lang w:val="en-US" w:eastAsia="zh-CN"/>
                    </w:rPr>
                  </w:pPr>
                  <w:r>
                    <w:rPr>
                      <w:rFonts w:hint="eastAsia"/>
                      <w:highlight w:val="none"/>
                    </w:rPr>
                    <w:sym w:font="Wingdings 2" w:char="0052"/>
                  </w:r>
                  <w:r>
                    <w:rPr>
                      <w:rFonts w:hint="eastAsia"/>
                      <w:highlight w:val="none"/>
                      <w:lang w:val="en-US" w:eastAsia="zh-CN"/>
                    </w:rPr>
                    <w:t>遵守检验检测相关的法律法规</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供方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组织的持续经营、明示采购要求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lang w:val="en-US" w:eastAsia="zh-CN"/>
                    </w:rPr>
                    <w:t>顾客</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产品/服务质量持续满足要求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szCs w:val="24"/>
                    </w:rPr>
                  </w:pPr>
                  <w:r>
                    <w:rPr>
                      <w:rFonts w:hint="eastAsia"/>
                      <w:highlight w:val="none"/>
                    </w:rPr>
                    <w:sym w:font="Wingdings 2" w:char="0052"/>
                  </w:r>
                  <w:r>
                    <w:rPr>
                      <w:rFonts w:hint="eastAsia"/>
                      <w:highlight w:val="none"/>
                      <w:vertAlign w:val="baseline"/>
                      <w:lang w:val="en-US" w:eastAsia="zh-CN"/>
                    </w:rPr>
                    <w:t>员工</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组织的持续经营、自我发展</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lang w:eastAsia="zh-CN"/>
                    </w:rPr>
                    <w:sym w:font="Wingdings 2" w:char="0052"/>
                  </w:r>
                  <w:r>
                    <w:rPr>
                      <w:rFonts w:hint="eastAsia"/>
                      <w:highlight w:val="none"/>
                      <w:lang w:val="en-US" w:eastAsia="zh-CN"/>
                    </w:rPr>
                    <w:t>投资方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组织的持续经营、盈利</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513" w:type="dxa"/>
                </w:tcPr>
                <w:p>
                  <w:pPr>
                    <w:keepNext w:val="0"/>
                    <w:keepLines w:val="0"/>
                    <w:suppressLineNumbers w:val="0"/>
                    <w:spacing w:before="0" w:beforeAutospacing="0" w:after="0" w:afterAutospacing="0"/>
                    <w:ind w:left="0" w:right="0"/>
                    <w:rPr>
                      <w:rFonts w:hint="eastAsia"/>
                      <w:color w:val="000000" w:themeColor="text1"/>
                    </w:rPr>
                  </w:pP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A3"/>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keepNext w:val="0"/>
              <w:keepLines w:val="0"/>
              <w:suppressLineNumbers w:val="0"/>
              <w:spacing w:before="40" w:beforeAutospacing="0" w:after="40" w:afterAutospacing="0"/>
              <w:ind w:left="0" w:right="0"/>
              <w:rPr>
                <w:rFonts w:hint="eastAsia"/>
              </w:rPr>
            </w:pPr>
            <w:r>
              <w:rPr>
                <w:rFonts w:hint="eastAsia"/>
              </w:rPr>
              <w:t xml:space="preserve"> </w:t>
            </w: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□新产品设计开发 □原材料订制 </w:t>
            </w:r>
            <w:r>
              <w:rPr>
                <w:rFonts w:hint="eastAsia"/>
              </w:rPr>
              <w:sym w:font="Wingdings 2" w:char="00A3"/>
            </w:r>
            <w:r>
              <w:rPr>
                <w:rFonts w:hint="eastAsia"/>
              </w:rPr>
              <w:t xml:space="preserve">生产/服务过程 </w:t>
            </w:r>
            <w:r>
              <w:rPr>
                <w:rFonts w:hint="eastAsia"/>
              </w:rPr>
              <w:sym w:font="Wingdings 2" w:char="00A3"/>
            </w:r>
            <w:r>
              <w:rPr>
                <w:rFonts w:hint="eastAsia"/>
              </w:rPr>
              <w:t>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u w:val="single"/>
                <w:lang w:eastAsia="zh-CN"/>
              </w:rPr>
              <w:t>服务至上，诚信第一；规范管理，遵纪守法；预防污染，保护环境；保障安全，持续改进。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tbl>
            <w:tblPr>
              <w:tblStyle w:val="13"/>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42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2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hint="eastAsia" w:ascii="宋体" w:hAnsi="宋体"/>
                      <w:color w:val="333333"/>
                      <w:sz w:val="18"/>
                      <w:szCs w:val="18"/>
                    </w:rPr>
                  </w:pPr>
                  <w:r>
                    <w:rPr>
                      <w:rFonts w:hint="eastAsia" w:ascii="宋体" w:hAnsi="宋体"/>
                      <w:color w:val="333333"/>
                      <w:sz w:val="18"/>
                      <w:szCs w:val="18"/>
                    </w:rPr>
                    <w:t>1.对市场需要</w:t>
                  </w:r>
                  <w:r>
                    <w:rPr>
                      <w:rFonts w:hint="eastAsia" w:ascii="宋体" w:hAnsi="宋体"/>
                      <w:color w:val="333333"/>
                      <w:sz w:val="18"/>
                      <w:szCs w:val="18"/>
                      <w:lang w:eastAsia="zh-CN"/>
                    </w:rPr>
                    <w:t>服务</w:t>
                  </w:r>
                  <w:r>
                    <w:rPr>
                      <w:rFonts w:hint="eastAsia" w:ascii="宋体" w:hAnsi="宋体"/>
                      <w:color w:val="333333"/>
                      <w:sz w:val="18"/>
                      <w:szCs w:val="18"/>
                    </w:rPr>
                    <w:t xml:space="preserve">的发展趋势判断失误。 </w:t>
                  </w:r>
                </w:p>
                <w:p>
                  <w:pPr>
                    <w:rPr>
                      <w:rFonts w:hint="eastAsia" w:ascii="宋体" w:hAnsi="宋体"/>
                      <w:color w:val="333333"/>
                      <w:sz w:val="18"/>
                      <w:szCs w:val="18"/>
                    </w:rPr>
                  </w:pPr>
                  <w:r>
                    <w:rPr>
                      <w:rFonts w:hint="eastAsia" w:ascii="宋体" w:hAnsi="宋体"/>
                      <w:color w:val="333333"/>
                      <w:sz w:val="18"/>
                      <w:szCs w:val="18"/>
                    </w:rPr>
                    <w:t>2.客户要求识别不完整。</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ascii="宋体" w:hAnsi="宋体"/>
                      <w:color w:val="333333"/>
                      <w:sz w:val="18"/>
                      <w:szCs w:val="18"/>
                    </w:rPr>
                    <w:t>3.未能确保能够满足客户要求就签署合同。</w:t>
                  </w:r>
                </w:p>
              </w:tc>
              <w:tc>
                <w:tcPr>
                  <w:tcW w:w="4224" w:type="dxa"/>
                </w:tcPr>
                <w:p>
                  <w:pPr>
                    <w:rPr>
                      <w:rFonts w:hint="eastAsia" w:ascii="宋体" w:hAnsi="宋体"/>
                      <w:color w:val="333333"/>
                      <w:sz w:val="18"/>
                      <w:szCs w:val="18"/>
                    </w:rPr>
                  </w:pPr>
                  <w:r>
                    <w:rPr>
                      <w:rFonts w:hint="eastAsia" w:ascii="宋体" w:hAnsi="宋体"/>
                      <w:color w:val="333333"/>
                      <w:sz w:val="18"/>
                      <w:szCs w:val="18"/>
                    </w:rPr>
                    <w:t>1.对市场需求</w:t>
                  </w:r>
                  <w:r>
                    <w:rPr>
                      <w:rFonts w:hint="eastAsia" w:ascii="宋体" w:hAnsi="宋体"/>
                      <w:color w:val="333333"/>
                      <w:sz w:val="18"/>
                      <w:szCs w:val="18"/>
                      <w:lang w:eastAsia="zh-CN"/>
                    </w:rPr>
                    <w:t>服务</w:t>
                  </w:r>
                  <w:r>
                    <w:rPr>
                      <w:rFonts w:hint="eastAsia" w:ascii="宋体" w:hAnsi="宋体"/>
                      <w:color w:val="333333"/>
                      <w:sz w:val="18"/>
                      <w:szCs w:val="18"/>
                    </w:rPr>
                    <w:t>的发展趋势分析应该经过反复论证。</w:t>
                  </w:r>
                </w:p>
                <w:p>
                  <w:pPr>
                    <w:rPr>
                      <w:rFonts w:hint="eastAsia" w:ascii="宋体" w:hAnsi="宋体"/>
                      <w:color w:val="333333"/>
                      <w:sz w:val="18"/>
                      <w:szCs w:val="18"/>
                    </w:rPr>
                  </w:pPr>
                  <w:r>
                    <w:rPr>
                      <w:rFonts w:hint="eastAsia" w:ascii="宋体" w:hAnsi="宋体"/>
                      <w:color w:val="333333"/>
                      <w:sz w:val="18"/>
                      <w:szCs w:val="18"/>
                    </w:rPr>
                    <w:t xml:space="preserve">2.对客户的要求实施监视和测量。 </w:t>
                  </w:r>
                </w:p>
                <w:p>
                  <w:pPr>
                    <w:rPr>
                      <w:rFonts w:hint="eastAsia" w:ascii="宋体" w:hAnsi="宋体"/>
                      <w:color w:val="333333"/>
                      <w:sz w:val="18"/>
                      <w:szCs w:val="18"/>
                    </w:rPr>
                  </w:pPr>
                  <w:r>
                    <w:rPr>
                      <w:rFonts w:hint="eastAsia" w:ascii="宋体" w:hAnsi="宋体"/>
                      <w:color w:val="333333"/>
                      <w:sz w:val="18"/>
                      <w:szCs w:val="18"/>
                    </w:rPr>
                    <w:t>3.在确定与客户签署合同前落实合同评审事宜。</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top"/>
                </w:tcPr>
                <w:p>
                  <w:pPr>
                    <w:rPr>
                      <w:rFonts w:hint="eastAsia" w:ascii="宋体" w:hAnsi="宋体"/>
                      <w:color w:val="333333"/>
                      <w:sz w:val="18"/>
                      <w:szCs w:val="18"/>
                    </w:rPr>
                  </w:pPr>
                  <w:r>
                    <w:rPr>
                      <w:rFonts w:hint="eastAsia" w:ascii="宋体" w:hAnsi="宋体"/>
                      <w:color w:val="333333"/>
                      <w:sz w:val="18"/>
                      <w:szCs w:val="18"/>
                    </w:rPr>
                    <w:t xml:space="preserve">设备能力不足。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ascii="宋体" w:hAnsi="宋体"/>
                      <w:color w:val="333333"/>
                      <w:sz w:val="18"/>
                      <w:szCs w:val="18"/>
                    </w:rPr>
                    <w:t>设备经常损坏，影响</w:t>
                  </w:r>
                  <w:r>
                    <w:rPr>
                      <w:rFonts w:hint="eastAsia" w:ascii="宋体" w:hAnsi="宋体"/>
                      <w:color w:val="333333"/>
                      <w:sz w:val="18"/>
                      <w:szCs w:val="18"/>
                      <w:lang w:eastAsia="zh-CN"/>
                    </w:rPr>
                    <w:t>服务</w:t>
                  </w:r>
                  <w:r>
                    <w:rPr>
                      <w:rFonts w:hint="eastAsia" w:ascii="宋体" w:hAnsi="宋体"/>
                      <w:color w:val="333333"/>
                      <w:sz w:val="18"/>
                      <w:szCs w:val="18"/>
                    </w:rPr>
                    <w:t>进度。</w:t>
                  </w:r>
                </w:p>
              </w:tc>
              <w:tc>
                <w:tcPr>
                  <w:tcW w:w="4224" w:type="dxa"/>
                </w:tcPr>
                <w:p>
                  <w:pPr>
                    <w:rPr>
                      <w:rFonts w:hint="eastAsia" w:ascii="宋体" w:hAnsi="宋体"/>
                      <w:color w:val="333333"/>
                      <w:sz w:val="18"/>
                      <w:szCs w:val="18"/>
                    </w:rPr>
                  </w:pPr>
                  <w:r>
                    <w:rPr>
                      <w:rFonts w:hint="eastAsia" w:ascii="宋体" w:hAnsi="宋体"/>
                      <w:color w:val="333333"/>
                      <w:sz w:val="18"/>
                      <w:szCs w:val="18"/>
                    </w:rPr>
                    <w:t xml:space="preserve">1.设备的保养及备件储备。 </w:t>
                  </w:r>
                </w:p>
                <w:p>
                  <w:pPr>
                    <w:rPr>
                      <w:rFonts w:hint="eastAsia"/>
                      <w:color w:val="auto"/>
                      <w:vertAlign w:val="baseline"/>
                      <w:lang w:val="en-US" w:eastAsia="zh-CN"/>
                    </w:rPr>
                  </w:pPr>
                  <w:r>
                    <w:rPr>
                      <w:rFonts w:hint="eastAsia" w:ascii="宋体" w:hAnsi="宋体"/>
                      <w:color w:val="333333"/>
                      <w:sz w:val="18"/>
                      <w:szCs w:val="18"/>
                    </w:rPr>
                    <w:t>2.建立完整的设备故障应急预案， 以确保</w:t>
                  </w:r>
                  <w:r>
                    <w:rPr>
                      <w:rFonts w:hint="eastAsia" w:ascii="宋体" w:hAnsi="宋体"/>
                      <w:color w:val="333333"/>
                      <w:sz w:val="18"/>
                      <w:szCs w:val="18"/>
                      <w:lang w:eastAsia="zh-CN"/>
                    </w:rPr>
                    <w:t>服务</w:t>
                  </w:r>
                  <w:r>
                    <w:rPr>
                      <w:rFonts w:hint="eastAsia" w:ascii="宋体" w:hAnsi="宋体"/>
                      <w:color w:val="333333"/>
                      <w:sz w:val="18"/>
                      <w:szCs w:val="18"/>
                    </w:rPr>
                    <w:t xml:space="preserve">过程的持续流畅。 </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2"/>
              <w:keepNext w:val="0"/>
              <w:keepLines w:val="0"/>
              <w:suppressLineNumbers w:val="0"/>
              <w:spacing w:beforeAutospacing="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tbl>
            <w:tblPr>
              <w:tblStyle w:val="12"/>
              <w:tblpPr w:leftFromText="180" w:rightFromText="180" w:vertAnchor="text" w:horzAnchor="page" w:tblpX="93" w:tblpY="29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954"/>
              <w:gridCol w:w="2134"/>
              <w:gridCol w:w="1088"/>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default" w:ascii="宋体" w:hAnsi="宋体"/>
                      <w:kern w:val="2"/>
                      <w:szCs w:val="24"/>
                      <w:lang w:val="en-US" w:eastAsia="zh-CN"/>
                    </w:rPr>
                  </w:pPr>
                  <w:r>
                    <w:rPr>
                      <w:rFonts w:hint="eastAsia" w:ascii="宋体" w:hAnsi="宋体" w:eastAsia="宋体" w:cs="宋体"/>
                      <w:sz w:val="21"/>
                      <w:szCs w:val="21"/>
                    </w:rPr>
                    <w:t>目标项目</w:t>
                  </w:r>
                </w:p>
              </w:tc>
              <w:tc>
                <w:tcPr>
                  <w:tcW w:w="954" w:type="dxa"/>
                  <w:shd w:val="clear" w:color="auto" w:fill="auto"/>
                  <w:vAlign w:val="top"/>
                </w:tcPr>
                <w:p>
                  <w:pPr>
                    <w:tabs>
                      <w:tab w:val="left" w:pos="855"/>
                    </w:tabs>
                    <w:snapToGrid w:val="0"/>
                    <w:jc w:val="center"/>
                    <w:rPr>
                      <w:rFonts w:hint="eastAsia" w:ascii="宋体" w:hAnsi="宋体"/>
                      <w:kern w:val="2"/>
                      <w:szCs w:val="24"/>
                      <w:lang w:val="en-US" w:eastAsia="zh-CN"/>
                    </w:rPr>
                  </w:pPr>
                  <w:r>
                    <w:rPr>
                      <w:rFonts w:hint="eastAsia" w:ascii="宋体" w:hAnsi="宋体" w:eastAsia="宋体" w:cs="宋体"/>
                      <w:sz w:val="21"/>
                      <w:szCs w:val="21"/>
                    </w:rPr>
                    <w:t>目标值</w:t>
                  </w:r>
                </w:p>
              </w:tc>
              <w:tc>
                <w:tcPr>
                  <w:tcW w:w="2134"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088"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2211"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目标实际完成（2021.06-2021.12）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客户满意率</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≥90%</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业主满意度调查</w:t>
                  </w:r>
                </w:p>
              </w:tc>
              <w:tc>
                <w:tcPr>
                  <w:tcW w:w="1088"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default" w:ascii="宋体" w:hAnsi="宋体" w:cs="Times New Roman"/>
                      <w:lang w:val="en-US" w:eastAsia="zh-CN"/>
                    </w:rPr>
                  </w:pPr>
                  <w:r>
                    <w:rPr>
                      <w:rFonts w:hint="eastAsia" w:ascii="宋体" w:hAnsi="宋体" w:eastAsia="宋体" w:cs="宋体"/>
                      <w:sz w:val="21"/>
                      <w:szCs w:val="21"/>
                      <w:lang w:val="en-US" w:eastAsia="zh-CN"/>
                    </w:rPr>
                    <w:t>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软件交付后响应时间时间RT：</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小于0.3秒</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每月一次抽查</w:t>
                  </w:r>
                </w:p>
              </w:tc>
              <w:tc>
                <w:tcPr>
                  <w:tcW w:w="108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0.2S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软件稳定性：2000小时内，故障次数</w:t>
                  </w:r>
                  <w:r>
                    <w:rPr>
                      <w:rFonts w:hint="eastAsia" w:ascii="宋体" w:hAnsi="宋体" w:eastAsia="宋体" w:cs="宋体"/>
                      <w:sz w:val="21"/>
                      <w:szCs w:val="21"/>
                    </w:rPr>
                    <w:t>；</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小于1次</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事件登记信息</w:t>
                  </w:r>
                </w:p>
              </w:tc>
              <w:tc>
                <w:tcPr>
                  <w:tcW w:w="108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固废合理处理率</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100%</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检查数据统计</w:t>
                  </w:r>
                </w:p>
              </w:tc>
              <w:tc>
                <w:tcPr>
                  <w:tcW w:w="108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100</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火灾事故</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事件登记信息</w:t>
                  </w:r>
                </w:p>
              </w:tc>
              <w:tc>
                <w:tcPr>
                  <w:tcW w:w="108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交通事故</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事件登记信息</w:t>
                  </w:r>
                </w:p>
              </w:tc>
              <w:tc>
                <w:tcPr>
                  <w:tcW w:w="108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因工伤亡事故</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p>
              </w:tc>
              <w:tc>
                <w:tcPr>
                  <w:tcW w:w="213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事件登记信息</w:t>
                  </w:r>
                </w:p>
              </w:tc>
              <w:tc>
                <w:tcPr>
                  <w:tcW w:w="1088"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11"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0</w:t>
                  </w:r>
                </w:p>
              </w:tc>
            </w:tr>
          </w:tbl>
          <w:p>
            <w:pPr>
              <w:keepNext w:val="0"/>
              <w:keepLines w:val="0"/>
              <w:suppressLineNumbers w:val="0"/>
              <w:spacing w:before="0" w:beforeAutospacing="0" w:after="0" w:afterAutospacing="0"/>
              <w:ind w:left="0" w:right="0"/>
              <w:rPr>
                <w:rFonts w:hint="eastAsia"/>
              </w:rPr>
            </w:pPr>
            <w:r>
              <w:rPr>
                <w:rFonts w:hint="eastAsia"/>
              </w:rPr>
              <w:t>总质量目标实现情况的评价：</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w:t>
            </w:r>
            <w:r>
              <w:rPr>
                <w:rFonts w:hint="eastAsia"/>
                <w:lang w:eastAsia="zh-CN"/>
              </w:rPr>
              <w:t>生产</w:t>
            </w:r>
            <w:r>
              <w:rPr>
                <w:rFonts w:hint="eastAsia"/>
              </w:rPr>
              <w:t>设备有</w:t>
            </w:r>
            <w:r>
              <w:rPr>
                <w:rFonts w:hint="eastAsia"/>
                <w:u w:val="single"/>
                <w:lang w:val="en-US" w:eastAsia="zh-CN"/>
              </w:rPr>
              <w:t>垃圾桶</w:t>
            </w:r>
            <w:r>
              <w:rPr>
                <w:rFonts w:hint="eastAsia"/>
                <w:color w:val="auto"/>
                <w:u w:val="single"/>
                <w:lang w:eastAsia="zh-CN"/>
              </w:rPr>
              <w:t>、</w:t>
            </w:r>
            <w:r>
              <w:rPr>
                <w:rFonts w:hint="eastAsia"/>
                <w:color w:val="auto"/>
                <w:u w:val="single"/>
                <w:lang w:val="en-US" w:eastAsia="zh-CN"/>
              </w:rPr>
              <w:t>四分类垃圾车、业务操作系统</w:t>
            </w:r>
            <w:r>
              <w:rPr>
                <w:rFonts w:hint="eastAsia"/>
                <w:u w:val="single"/>
              </w:rPr>
              <w:t xml:space="preserve">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auto"/>
                <w:u w:val="single"/>
                <w:lang w:val="en-US" w:eastAsia="zh-CN"/>
              </w:rPr>
              <w:t xml:space="preserve">  台秤</w:t>
            </w:r>
            <w:r>
              <w:rPr>
                <w:rFonts w:hint="eastAsia"/>
                <w:u w:val="single"/>
              </w:rPr>
              <w:t xml:space="preserve"> </w:t>
            </w:r>
            <w:r>
              <w:rPr>
                <w:rFonts w:hint="eastAsia"/>
                <w:color w:val="000000" w:themeColor="text1"/>
                <w:u w:val="single"/>
              </w:rPr>
              <w:t xml:space="preserve">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A8"/>
            </w:r>
            <w:r>
              <w:rPr>
                <w:rFonts w:hint="eastAsia"/>
                <w:lang w:val="en-US" w:eastAsia="zh-CN"/>
              </w:rPr>
              <w:t>研发</w:t>
            </w:r>
            <w:r>
              <w:rPr>
                <w:rFonts w:hint="eastAsia"/>
              </w:rPr>
              <w:t xml:space="preserve">经验  </w:t>
            </w:r>
            <w:r>
              <w:rPr>
                <w:rFonts w:hint="eastAsia"/>
              </w:rPr>
              <w:sym w:font="Wingdings" w:char="00FE"/>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A8"/>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A8"/>
            </w:r>
            <w:r>
              <w:rPr>
                <w:rFonts w:hint="eastAsia"/>
              </w:rPr>
              <w:t xml:space="preserve">产品标准  </w:t>
            </w:r>
            <w:r>
              <w:rPr>
                <w:rFonts w:hint="eastAsia"/>
              </w:rPr>
              <w:sym w:font="Wingdings" w:char="00A8"/>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lang w:val="en-US" w:eastAsia="zh-CN"/>
              </w:rPr>
              <w:t>电焊工</w:t>
            </w:r>
            <w:r>
              <w:rPr>
                <w:rFonts w:hint="eastAsia"/>
              </w:rPr>
              <w:t xml:space="preserve">   </w:t>
            </w:r>
            <w:r>
              <w:rPr>
                <w:rFonts w:hint="eastAsia"/>
              </w:rPr>
              <w:sym w:font="Wingdings" w:char="00A8"/>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default" w:eastAsia="宋体"/>
                <w:lang w:val="en-US" w:eastAsia="zh-CN"/>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A8"/>
            </w:r>
            <w:r>
              <w:rPr>
                <w:rFonts w:hint="eastAsia"/>
                <w:lang w:val="en-US" w:eastAsia="zh-CN"/>
              </w:rPr>
              <w:t>国家</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审核期间内设计和开发新产品/项目名称</w:t>
            </w:r>
            <w:r>
              <w:rPr>
                <w:rFonts w:hint="eastAsia"/>
                <w:color w:val="FF0000"/>
              </w:rPr>
              <w:t>：</w:t>
            </w:r>
            <w:r>
              <w:rPr>
                <w:rFonts w:hint="eastAsia"/>
                <w:color w:val="FF0000"/>
                <w:u w:val="single"/>
              </w:rPr>
              <w:t xml:space="preserve">无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A8"/>
            </w:r>
            <w:r>
              <w:rPr>
                <w:rFonts w:hint="eastAsia"/>
              </w:rPr>
              <w:t xml:space="preserve">符合要求 </w:t>
            </w:r>
            <w:r>
              <w:rPr>
                <w:rFonts w:hint="eastAsia"/>
              </w:rPr>
              <w:sym w:font="Wingdings" w:char="00FE"/>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281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2818"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Pr>
                <w:p>
                  <w:pPr>
                    <w:keepNext w:val="0"/>
                    <w:keepLines w:val="0"/>
                    <w:suppressLineNumbers w:val="0"/>
                    <w:spacing w:before="0" w:beforeAutospacing="0" w:after="0" w:afterAutospacing="0"/>
                    <w:ind w:left="0" w:right="0"/>
                    <w:jc w:val="left"/>
                    <w:rPr>
                      <w:rFonts w:hint="eastAsia"/>
                    </w:rPr>
                  </w:pPr>
                  <w:r>
                    <w:rPr>
                      <w:sz w:val="20"/>
                    </w:rPr>
                    <w:t>城市生活垃圾分类、再生资源销售、环卫平台软件开发及销售</w:t>
                  </w:r>
                </w:p>
              </w:tc>
              <w:tc>
                <w:tcPr>
                  <w:tcW w:w="2818"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定投督导、设计研发</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作业规程</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w:t>
            </w:r>
            <w:r>
              <w:rPr>
                <w:rFonts w:hint="eastAsia"/>
                <w:u w:val="single"/>
                <w:lang w:val="en-US" w:eastAsia="zh-CN"/>
              </w:rPr>
              <w:t>销售</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A8"/>
            </w:r>
            <w:r>
              <w:rPr>
                <w:rFonts w:hint="eastAsia"/>
              </w:rPr>
              <w:t xml:space="preserve">进行了有效的确认  </w:t>
            </w:r>
            <w:r>
              <w:rPr>
                <w:rFonts w:hint="eastAsia"/>
              </w:rPr>
              <w:sym w:font="Wingdings" w:char="00FE"/>
            </w:r>
            <w:r>
              <w:rPr>
                <w:rFonts w:hint="eastAsia"/>
              </w:rPr>
              <w:t>存在不足，说明</w:t>
            </w:r>
            <w:r>
              <w:rPr>
                <w:rFonts w:hint="eastAsia"/>
                <w:u w:val="single"/>
              </w:rPr>
              <w:t xml:space="preserve">  </w:t>
            </w:r>
            <w:r>
              <w:rPr>
                <w:rFonts w:hint="eastAsia"/>
                <w:u w:val="single"/>
                <w:lang w:val="en-US" w:eastAsia="zh-CN"/>
              </w:rPr>
              <w:t>未对特殊过程进行确认，已开具不符合</w:t>
            </w:r>
            <w:r>
              <w:rPr>
                <w:rFonts w:hint="eastAsia"/>
                <w:u w:val="single"/>
              </w:rPr>
              <w:t xml:space="preserve">      </w:t>
            </w:r>
            <w:r>
              <w:rPr>
                <w:rFonts w:hint="eastAsia"/>
              </w:rPr>
              <w:t>。</w:t>
            </w: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lang w:eastAsia="zh-CN"/>
              </w:rPr>
            </w:pPr>
            <w:r>
              <w:rPr>
                <w:rFonts w:hint="eastAsia"/>
              </w:rPr>
              <w:t>目前交付后活动：</w:t>
            </w:r>
            <w:r>
              <w:rPr>
                <w:rFonts w:hint="eastAsia"/>
              </w:rPr>
              <w:sym w:font="Wingdings" w:char="00A8"/>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内部进行沟通完善</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FE"/>
            </w:r>
            <w:r>
              <w:rPr>
                <w:rFonts w:hint="eastAsia"/>
              </w:rPr>
              <w:t xml:space="preserve">顾客座谈 </w:t>
            </w:r>
            <w:r>
              <w:rPr>
                <w:rFonts w:hint="eastAsia"/>
              </w:rPr>
              <w:sym w:font="Wingdings" w:char="00A8"/>
            </w:r>
            <w:r>
              <w:rPr>
                <w:rFonts w:hint="eastAsia"/>
              </w:rPr>
              <w:t xml:space="preserve">市场占有率分析 </w:t>
            </w:r>
            <w:r>
              <w:rPr>
                <w:rFonts w:hint="eastAsia"/>
              </w:rPr>
              <w:sym w:font="Wingdings" w:char="00FE"/>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eastAsia="zh-CN"/>
              </w:rPr>
              <w:t>2021年</w:t>
            </w:r>
            <w:r>
              <w:rPr>
                <w:rFonts w:hint="eastAsia"/>
                <w:lang w:val="en-US" w:eastAsia="zh-CN"/>
              </w:rPr>
              <w:t>12</w:t>
            </w:r>
            <w:r>
              <w:rPr>
                <w:rFonts w:hint="eastAsia"/>
                <w:lang w:eastAsia="zh-CN"/>
              </w:rPr>
              <w:t>月</w:t>
            </w:r>
            <w:r>
              <w:rPr>
                <w:rFonts w:hint="eastAsia"/>
                <w:lang w:val="en-US" w:eastAsia="zh-CN"/>
              </w:rPr>
              <w:t>17-18</w:t>
            </w:r>
            <w:r>
              <w:rPr>
                <w:rFonts w:hint="eastAsia"/>
                <w:lang w:eastAsia="zh-CN"/>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ascii="宋体" w:hAnsi="宋体" w:cs="宋体"/>
                <w:szCs w:val="21"/>
                <w:u w:val="single"/>
                <w:lang w:val="en-US" w:eastAsia="zh-CN"/>
              </w:rPr>
              <w:t xml:space="preserve"> 2021年12月25 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US" w:eastAsia="zh-CN"/>
              </w:rPr>
              <w:t>1</w:t>
            </w: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9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929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9296"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3224"/>
              <w:gridCol w:w="3425"/>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top"/>
                </w:tcPr>
                <w:p>
                  <w:pPr>
                    <w:jc w:val="center"/>
                    <w:rPr>
                      <w:rFonts w:ascii="楷体" w:hAnsi="楷体" w:eastAsia="楷体"/>
                    </w:rPr>
                  </w:pPr>
                  <w:r>
                    <w:rPr>
                      <w:rFonts w:hint="eastAsia" w:ascii="楷体" w:hAnsi="楷体" w:eastAsia="楷体"/>
                    </w:rPr>
                    <w:t>相关方</w:t>
                  </w:r>
                </w:p>
              </w:tc>
              <w:tc>
                <w:tcPr>
                  <w:tcW w:w="1777" w:type="pct"/>
                  <w:noWrap w:val="0"/>
                  <w:vAlign w:val="top"/>
                </w:tcPr>
                <w:p>
                  <w:pPr>
                    <w:jc w:val="center"/>
                    <w:rPr>
                      <w:rFonts w:ascii="楷体" w:hAnsi="楷体" w:eastAsia="楷体"/>
                    </w:rPr>
                  </w:pPr>
                  <w:r>
                    <w:rPr>
                      <w:rFonts w:hint="eastAsia" w:ascii="楷体" w:hAnsi="楷体" w:eastAsia="楷体"/>
                    </w:rPr>
                    <w:t>需求及期望描述</w:t>
                  </w:r>
                </w:p>
              </w:tc>
              <w:tc>
                <w:tcPr>
                  <w:tcW w:w="1888" w:type="pct"/>
                  <w:noWrap w:val="0"/>
                  <w:vAlign w:val="top"/>
                </w:tcPr>
                <w:p>
                  <w:pPr>
                    <w:jc w:val="center"/>
                    <w:rPr>
                      <w:rFonts w:ascii="楷体" w:hAnsi="楷体" w:eastAsia="楷体"/>
                    </w:rPr>
                  </w:pPr>
                  <w:r>
                    <w:rPr>
                      <w:rFonts w:hint="eastAsia" w:ascii="楷体" w:hAnsi="楷体" w:eastAsia="楷体"/>
                    </w:rPr>
                    <w:t>应对措施</w:t>
                  </w:r>
                </w:p>
              </w:tc>
              <w:tc>
                <w:tcPr>
                  <w:tcW w:w="777" w:type="pct"/>
                  <w:noWrap w:val="0"/>
                  <w:vAlign w:val="top"/>
                </w:tcPr>
                <w:p>
                  <w:pPr>
                    <w:jc w:val="center"/>
                    <w:rPr>
                      <w:rFonts w:ascii="楷体" w:hAnsi="楷体" w:eastAsia="楷体"/>
                    </w:rPr>
                  </w:pPr>
                  <w:r>
                    <w:rPr>
                      <w:rFonts w:hint="eastAsia" w:ascii="楷体" w:hAnsi="楷体" w:eastAsia="楷体"/>
                    </w:rPr>
                    <w:t>结果评价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ascii="楷体" w:hAnsi="楷体" w:eastAsia="楷体"/>
                    </w:rPr>
                  </w:pPr>
                  <w:r>
                    <w:rPr>
                      <w:rFonts w:hint="eastAsia" w:ascii="楷体" w:hAnsi="楷体" w:eastAsia="楷体"/>
                    </w:rPr>
                    <w:t>顾客（甲方）</w:t>
                  </w:r>
                </w:p>
              </w:tc>
              <w:tc>
                <w:tcPr>
                  <w:tcW w:w="1777" w:type="pct"/>
                  <w:noWrap w:val="0"/>
                  <w:vAlign w:val="center"/>
                </w:tcPr>
                <w:p>
                  <w:pPr>
                    <w:pStyle w:val="16"/>
                    <w:numPr>
                      <w:ilvl w:val="0"/>
                      <w:numId w:val="2"/>
                    </w:numPr>
                    <w:ind w:firstLineChars="0"/>
                    <w:rPr>
                      <w:rFonts w:hint="eastAsia" w:ascii="楷体" w:hAnsi="楷体" w:eastAsia="楷体"/>
                    </w:rPr>
                  </w:pPr>
                  <w:r>
                    <w:rPr>
                      <w:rFonts w:hint="eastAsia" w:ascii="楷体" w:hAnsi="楷体" w:eastAsia="楷体"/>
                    </w:rPr>
                    <w:t>建立有效的质量、环境及职业健康安全管理体系并运行；</w:t>
                  </w:r>
                </w:p>
                <w:p>
                  <w:pPr>
                    <w:pStyle w:val="16"/>
                    <w:numPr>
                      <w:ilvl w:val="0"/>
                      <w:numId w:val="2"/>
                    </w:numPr>
                    <w:ind w:firstLineChars="0"/>
                    <w:rPr>
                      <w:rFonts w:ascii="楷体" w:hAnsi="楷体" w:eastAsia="楷体"/>
                    </w:rPr>
                  </w:pPr>
                  <w:r>
                    <w:rPr>
                      <w:rFonts w:hint="eastAsia" w:ascii="楷体" w:hAnsi="楷体" w:eastAsia="楷体"/>
                    </w:rPr>
                    <w:t>持续满足合同要求的服务质量</w:t>
                  </w:r>
                </w:p>
              </w:tc>
              <w:tc>
                <w:tcPr>
                  <w:tcW w:w="1888" w:type="pct"/>
                  <w:noWrap w:val="0"/>
                  <w:vAlign w:val="center"/>
                </w:tcPr>
                <w:p>
                  <w:pPr>
                    <w:pStyle w:val="16"/>
                    <w:numPr>
                      <w:ilvl w:val="0"/>
                      <w:numId w:val="3"/>
                    </w:numPr>
                    <w:ind w:firstLineChars="0"/>
                    <w:rPr>
                      <w:rFonts w:hint="eastAsia" w:ascii="楷体" w:hAnsi="楷体" w:eastAsia="楷体"/>
                    </w:rPr>
                  </w:pPr>
                  <w:r>
                    <w:rPr>
                      <w:rFonts w:hint="eastAsia" w:ascii="楷体" w:hAnsi="楷体" w:eastAsia="楷体"/>
                    </w:rPr>
                    <w:t>在公司内部建立</w:t>
                  </w:r>
                  <w:r>
                    <w:rPr>
                      <w:rFonts w:hint="eastAsia" w:ascii="楷体" w:hAnsi="楷体" w:eastAsia="楷体"/>
                      <w:lang w:eastAsia="zh-CN"/>
                    </w:rPr>
                    <w:t>ISO9001：2015</w:t>
                  </w:r>
                  <w:r>
                    <w:rPr>
                      <w:rFonts w:hint="eastAsia" w:ascii="楷体" w:hAnsi="楷体" w:eastAsia="楷体"/>
                    </w:rPr>
                    <w:t>、</w:t>
                  </w:r>
                  <w:r>
                    <w:rPr>
                      <w:rFonts w:hint="eastAsia" w:ascii="楷体" w:hAnsi="楷体" w:eastAsia="楷体"/>
                      <w:lang w:eastAsia="zh-CN"/>
                    </w:rPr>
                    <w:t>ISO14001：2015</w:t>
                  </w:r>
                  <w:r>
                    <w:rPr>
                      <w:rFonts w:hint="eastAsia" w:ascii="楷体" w:hAnsi="楷体" w:eastAsia="楷体"/>
                    </w:rPr>
                    <w:t>及</w:t>
                  </w:r>
                  <w:r>
                    <w:rPr>
                      <w:rFonts w:hint="eastAsia" w:ascii="楷体" w:hAnsi="楷体" w:eastAsia="楷体"/>
                      <w:lang w:eastAsia="zh-CN"/>
                    </w:rPr>
                    <w:t>ISO45001：2018</w:t>
                  </w:r>
                  <w:r>
                    <w:rPr>
                      <w:rFonts w:hint="eastAsia" w:ascii="楷体" w:hAnsi="楷体" w:eastAsia="楷体"/>
                    </w:rPr>
                    <w:t>管理体系，并在公司内部有效实施；</w:t>
                  </w:r>
                </w:p>
                <w:p>
                  <w:pPr>
                    <w:pStyle w:val="16"/>
                    <w:numPr>
                      <w:ilvl w:val="0"/>
                      <w:numId w:val="3"/>
                    </w:numPr>
                    <w:ind w:firstLineChars="0"/>
                    <w:rPr>
                      <w:rFonts w:ascii="楷体" w:hAnsi="楷体" w:eastAsia="楷体"/>
                    </w:rPr>
                  </w:pPr>
                  <w:r>
                    <w:rPr>
                      <w:rFonts w:hint="eastAsia" w:ascii="楷体" w:hAnsi="楷体" w:eastAsia="楷体"/>
                    </w:rPr>
                    <w:t>通过甲方要求的识别、评审及转化，建立有针对性的服务方案实现顾客（甲方）的要求及期望</w:t>
                  </w:r>
                </w:p>
              </w:tc>
              <w:tc>
                <w:tcPr>
                  <w:tcW w:w="777" w:type="pct"/>
                  <w:noWrap w:val="0"/>
                  <w:vAlign w:val="center"/>
                </w:tcPr>
                <w:p>
                  <w:pPr>
                    <w:rPr>
                      <w:rFonts w:ascii="楷体" w:hAnsi="楷体" w:eastAsia="楷体"/>
                    </w:rPr>
                  </w:pPr>
                  <w:r>
                    <w:rPr>
                      <w:rFonts w:hint="eastAsia" w:ascii="楷体" w:hAnsi="楷体" w:eastAsia="楷体"/>
                    </w:rPr>
                    <w:t>基本按应对的措施控制管理，基本满足要求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ascii="楷体" w:hAnsi="楷体" w:eastAsia="楷体"/>
                    </w:rPr>
                  </w:pPr>
                  <w:r>
                    <w:rPr>
                      <w:rFonts w:hint="eastAsia" w:ascii="楷体" w:hAnsi="楷体" w:eastAsia="楷体"/>
                    </w:rPr>
                    <w:t>外部供方</w:t>
                  </w:r>
                </w:p>
              </w:tc>
              <w:tc>
                <w:tcPr>
                  <w:tcW w:w="1777" w:type="pct"/>
                  <w:noWrap w:val="0"/>
                  <w:vAlign w:val="center"/>
                </w:tcPr>
                <w:p>
                  <w:pPr>
                    <w:pStyle w:val="16"/>
                    <w:numPr>
                      <w:ilvl w:val="0"/>
                      <w:numId w:val="4"/>
                    </w:numPr>
                    <w:ind w:firstLineChars="0"/>
                    <w:rPr>
                      <w:rFonts w:hint="eastAsia" w:ascii="楷体" w:hAnsi="楷体" w:eastAsia="楷体"/>
                    </w:rPr>
                  </w:pPr>
                  <w:r>
                    <w:rPr>
                      <w:rFonts w:hint="eastAsia" w:ascii="楷体" w:hAnsi="楷体" w:eastAsia="楷体"/>
                    </w:rPr>
                    <w:t>稳定、持续的开展双方的业务合作；</w:t>
                  </w:r>
                </w:p>
                <w:p>
                  <w:pPr>
                    <w:pStyle w:val="16"/>
                    <w:numPr>
                      <w:ilvl w:val="0"/>
                      <w:numId w:val="4"/>
                    </w:numPr>
                    <w:ind w:firstLineChars="0"/>
                    <w:rPr>
                      <w:rFonts w:hint="eastAsia" w:ascii="楷体" w:hAnsi="楷体" w:eastAsia="楷体"/>
                    </w:rPr>
                  </w:pPr>
                  <w:r>
                    <w:rPr>
                      <w:rFonts w:hint="eastAsia" w:ascii="楷体" w:hAnsi="楷体" w:eastAsia="楷体"/>
                    </w:rPr>
                    <w:t>通过双方的深度合作降低外部供方的成本，提升供就链的持续竞争力</w:t>
                  </w:r>
                </w:p>
                <w:p>
                  <w:pPr>
                    <w:pStyle w:val="16"/>
                    <w:numPr>
                      <w:ilvl w:val="0"/>
                      <w:numId w:val="4"/>
                    </w:numPr>
                    <w:ind w:firstLineChars="0"/>
                    <w:rPr>
                      <w:rFonts w:ascii="楷体" w:hAnsi="楷体" w:eastAsia="楷体"/>
                    </w:rPr>
                  </w:pPr>
                  <w:r>
                    <w:rPr>
                      <w:rFonts w:hint="eastAsia" w:ascii="楷体" w:hAnsi="楷体" w:eastAsia="楷体"/>
                    </w:rPr>
                    <w:t>提供供方更先进、更规范化、更有竞争力的管理制度促进供方持续改善，提高供方的水平，实现真正意义上的双赢</w:t>
                  </w:r>
                </w:p>
              </w:tc>
              <w:tc>
                <w:tcPr>
                  <w:tcW w:w="1888" w:type="pct"/>
                  <w:noWrap w:val="0"/>
                  <w:vAlign w:val="center"/>
                </w:tcPr>
                <w:p>
                  <w:pPr>
                    <w:pStyle w:val="16"/>
                    <w:numPr>
                      <w:ilvl w:val="0"/>
                      <w:numId w:val="5"/>
                    </w:numPr>
                    <w:ind w:firstLineChars="0"/>
                    <w:rPr>
                      <w:rFonts w:hint="eastAsia" w:ascii="楷体" w:hAnsi="楷体" w:eastAsia="楷体"/>
                    </w:rPr>
                  </w:pPr>
                  <w:r>
                    <w:rPr>
                      <w:rFonts w:hint="eastAsia" w:ascii="楷体" w:hAnsi="楷体" w:eastAsia="楷体"/>
                    </w:rPr>
                    <w:t>持续推动一体化战略，建立与供方稳定的战略联盟关系；</w:t>
                  </w:r>
                </w:p>
                <w:p>
                  <w:pPr>
                    <w:pStyle w:val="16"/>
                    <w:numPr>
                      <w:ilvl w:val="0"/>
                      <w:numId w:val="5"/>
                    </w:numPr>
                    <w:ind w:firstLineChars="0"/>
                    <w:rPr>
                      <w:rFonts w:hint="eastAsia" w:ascii="楷体" w:hAnsi="楷体" w:eastAsia="楷体"/>
                    </w:rPr>
                  </w:pPr>
                  <w:r>
                    <w:rPr>
                      <w:rFonts w:hint="eastAsia" w:ascii="楷体" w:hAnsi="楷体" w:eastAsia="楷体"/>
                    </w:rPr>
                    <w:t>加大对供方的供货及服务质量监督力度，提升供方供货质量及服务水平，持续有效的降低供方的成本</w:t>
                  </w:r>
                </w:p>
                <w:p>
                  <w:pPr>
                    <w:pStyle w:val="16"/>
                    <w:numPr>
                      <w:ilvl w:val="0"/>
                      <w:numId w:val="5"/>
                    </w:numPr>
                    <w:ind w:firstLineChars="0"/>
                    <w:rPr>
                      <w:rFonts w:ascii="楷体" w:hAnsi="楷体" w:eastAsia="楷体"/>
                    </w:rPr>
                  </w:pPr>
                  <w:r>
                    <w:rPr>
                      <w:rFonts w:hint="eastAsia" w:ascii="楷体" w:hAnsi="楷体" w:eastAsia="楷体"/>
                    </w:rPr>
                    <w:t>通过公司建立</w:t>
                  </w:r>
                  <w:r>
                    <w:rPr>
                      <w:rFonts w:hint="eastAsia" w:ascii="楷体" w:hAnsi="楷体" w:eastAsia="楷体"/>
                      <w:lang w:eastAsia="zh-CN"/>
                    </w:rPr>
                    <w:t>ISO9001：2015</w:t>
                  </w:r>
                  <w:r>
                    <w:rPr>
                      <w:rFonts w:hint="eastAsia" w:ascii="楷体" w:hAnsi="楷体" w:eastAsia="楷体"/>
                    </w:rPr>
                    <w:t>、</w:t>
                  </w:r>
                  <w:r>
                    <w:rPr>
                      <w:rFonts w:hint="eastAsia" w:ascii="楷体" w:hAnsi="楷体" w:eastAsia="楷体"/>
                      <w:lang w:eastAsia="zh-CN"/>
                    </w:rPr>
                    <w:t>ISO14001：2015</w:t>
                  </w:r>
                  <w:r>
                    <w:rPr>
                      <w:rFonts w:hint="eastAsia" w:ascii="楷体" w:hAnsi="楷体" w:eastAsia="楷体"/>
                    </w:rPr>
                    <w:t>及</w:t>
                  </w:r>
                  <w:r>
                    <w:rPr>
                      <w:rFonts w:hint="eastAsia" w:ascii="楷体" w:hAnsi="楷体" w:eastAsia="楷体"/>
                      <w:lang w:eastAsia="zh-CN"/>
                    </w:rPr>
                    <w:t>ISO45001：2018</w:t>
                  </w:r>
                  <w:r>
                    <w:rPr>
                      <w:rFonts w:hint="eastAsia" w:ascii="楷体" w:hAnsi="楷体" w:eastAsia="楷体"/>
                    </w:rPr>
                    <w:t xml:space="preserve">管理体系，对供方持续的施加影响 </w:t>
                  </w:r>
                </w:p>
              </w:tc>
              <w:tc>
                <w:tcPr>
                  <w:tcW w:w="777" w:type="pct"/>
                  <w:noWrap w:val="0"/>
                  <w:vAlign w:val="center"/>
                </w:tcPr>
                <w:p>
                  <w:pPr>
                    <w:rPr>
                      <w:rFonts w:ascii="楷体" w:hAnsi="楷体" w:eastAsia="楷体"/>
                    </w:rPr>
                  </w:pPr>
                  <w:r>
                    <w:rPr>
                      <w:rFonts w:hint="eastAsia" w:ascii="楷体" w:hAnsi="楷体" w:eastAsia="楷体"/>
                    </w:rPr>
                    <w:t>基本按应对的措施控制管理，符合要求基本满足要求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ascii="楷体" w:hAnsi="楷体" w:eastAsia="楷体"/>
                    </w:rPr>
                  </w:pPr>
                  <w:r>
                    <w:rPr>
                      <w:rFonts w:hint="eastAsia" w:ascii="楷体" w:hAnsi="楷体" w:eastAsia="楷体"/>
                    </w:rPr>
                    <w:t>员工</w:t>
                  </w:r>
                </w:p>
              </w:tc>
              <w:tc>
                <w:tcPr>
                  <w:tcW w:w="1777" w:type="pct"/>
                  <w:noWrap w:val="0"/>
                  <w:vAlign w:val="center"/>
                </w:tcPr>
                <w:p>
                  <w:pPr>
                    <w:pStyle w:val="16"/>
                    <w:numPr>
                      <w:ilvl w:val="0"/>
                      <w:numId w:val="6"/>
                    </w:numPr>
                    <w:ind w:firstLineChars="0"/>
                    <w:rPr>
                      <w:rFonts w:hint="eastAsia" w:ascii="楷体" w:hAnsi="楷体" w:eastAsia="楷体"/>
                    </w:rPr>
                  </w:pPr>
                  <w:r>
                    <w:rPr>
                      <w:rFonts w:hint="eastAsia" w:ascii="楷体" w:hAnsi="楷体" w:eastAsia="楷体"/>
                    </w:rPr>
                    <w:t>个人能力及职位得到提升；</w:t>
                  </w:r>
                </w:p>
                <w:p>
                  <w:pPr>
                    <w:pStyle w:val="16"/>
                    <w:numPr>
                      <w:ilvl w:val="0"/>
                      <w:numId w:val="6"/>
                    </w:numPr>
                    <w:ind w:firstLineChars="0"/>
                    <w:rPr>
                      <w:rFonts w:hint="eastAsia" w:ascii="楷体" w:hAnsi="楷体" w:eastAsia="楷体"/>
                    </w:rPr>
                  </w:pPr>
                  <w:r>
                    <w:rPr>
                      <w:rFonts w:hint="eastAsia" w:ascii="楷体" w:hAnsi="楷体" w:eastAsia="楷体"/>
                    </w:rPr>
                    <w:t>福利措施的持续满足</w:t>
                  </w:r>
                </w:p>
                <w:p>
                  <w:pPr>
                    <w:pStyle w:val="16"/>
                    <w:numPr>
                      <w:ilvl w:val="0"/>
                      <w:numId w:val="6"/>
                    </w:numPr>
                    <w:ind w:firstLineChars="0"/>
                    <w:rPr>
                      <w:rFonts w:ascii="楷体" w:hAnsi="楷体" w:eastAsia="楷体"/>
                    </w:rPr>
                  </w:pPr>
                  <w:r>
                    <w:rPr>
                      <w:rFonts w:hint="eastAsia" w:ascii="楷体" w:hAnsi="楷体" w:eastAsia="楷体"/>
                    </w:rPr>
                    <w:t>职业健康防护的落实</w:t>
                  </w:r>
                </w:p>
              </w:tc>
              <w:tc>
                <w:tcPr>
                  <w:tcW w:w="1888" w:type="pct"/>
                  <w:noWrap w:val="0"/>
                  <w:vAlign w:val="center"/>
                </w:tcPr>
                <w:p>
                  <w:pPr>
                    <w:pStyle w:val="16"/>
                    <w:numPr>
                      <w:ilvl w:val="0"/>
                      <w:numId w:val="7"/>
                    </w:numPr>
                    <w:ind w:firstLineChars="0"/>
                    <w:rPr>
                      <w:rFonts w:hint="eastAsia" w:ascii="楷体" w:hAnsi="楷体" w:eastAsia="楷体"/>
                    </w:rPr>
                  </w:pPr>
                  <w:r>
                    <w:rPr>
                      <w:rFonts w:hint="eastAsia" w:ascii="楷体" w:hAnsi="楷体" w:eastAsia="楷体"/>
                    </w:rPr>
                    <w:t>建立规范化的人力资源及培训机制，构建更加公平、透明、规范化的岗位竞争机制；</w:t>
                  </w:r>
                </w:p>
                <w:p>
                  <w:pPr>
                    <w:pStyle w:val="16"/>
                    <w:numPr>
                      <w:ilvl w:val="0"/>
                      <w:numId w:val="7"/>
                    </w:numPr>
                    <w:ind w:firstLineChars="0"/>
                    <w:rPr>
                      <w:rFonts w:hint="eastAsia" w:ascii="楷体" w:hAnsi="楷体" w:eastAsia="楷体"/>
                    </w:rPr>
                  </w:pPr>
                  <w:r>
                    <w:rPr>
                      <w:rFonts w:hint="eastAsia" w:ascii="楷体" w:hAnsi="楷体" w:eastAsia="楷体"/>
                    </w:rPr>
                    <w:t>持续落实劳保用品、过节费、确保月休等福利措施的实施；</w:t>
                  </w:r>
                </w:p>
                <w:p>
                  <w:pPr>
                    <w:pStyle w:val="16"/>
                    <w:numPr>
                      <w:ilvl w:val="0"/>
                      <w:numId w:val="7"/>
                    </w:numPr>
                    <w:ind w:firstLineChars="0"/>
                    <w:rPr>
                      <w:rFonts w:hint="eastAsia" w:ascii="楷体" w:hAnsi="楷体" w:eastAsia="楷体"/>
                    </w:rPr>
                  </w:pPr>
                  <w:r>
                    <w:rPr>
                      <w:rFonts w:hint="eastAsia" w:ascii="楷体" w:hAnsi="楷体" w:eastAsia="楷体"/>
                    </w:rPr>
                    <w:t>建立员工健康检查机制，每年安排员工体检；</w:t>
                  </w:r>
                </w:p>
                <w:p>
                  <w:pPr>
                    <w:pStyle w:val="16"/>
                    <w:numPr>
                      <w:ilvl w:val="0"/>
                      <w:numId w:val="7"/>
                    </w:numPr>
                    <w:ind w:firstLineChars="0"/>
                    <w:rPr>
                      <w:rFonts w:ascii="楷体" w:hAnsi="楷体" w:eastAsia="楷体"/>
                    </w:rPr>
                  </w:pPr>
                  <w:r>
                    <w:rPr>
                      <w:rFonts w:hint="eastAsia" w:ascii="楷体" w:hAnsi="楷体" w:eastAsia="楷体"/>
                    </w:rPr>
                    <w:t>确保清洁员工社保及团队意外险的落实到位</w:t>
                  </w:r>
                </w:p>
              </w:tc>
              <w:tc>
                <w:tcPr>
                  <w:tcW w:w="777" w:type="pct"/>
                  <w:noWrap w:val="0"/>
                  <w:vAlign w:val="center"/>
                </w:tcPr>
                <w:p>
                  <w:pPr>
                    <w:rPr>
                      <w:rFonts w:ascii="楷体" w:hAnsi="楷体" w:eastAsia="楷体"/>
                    </w:rPr>
                  </w:pPr>
                  <w:r>
                    <w:rPr>
                      <w:rFonts w:hint="eastAsia" w:ascii="楷体" w:hAnsi="楷体" w:eastAsia="楷体"/>
                    </w:rPr>
                    <w:t>基本按应对的措施控制管理，基本满足要求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hint="eastAsia" w:ascii="楷体" w:hAnsi="楷体" w:eastAsia="楷体"/>
                      <w:lang w:eastAsia="zh-CN"/>
                    </w:rPr>
                  </w:pPr>
                  <w:r>
                    <w:rPr>
                      <w:rFonts w:hint="eastAsia" w:ascii="楷体" w:hAnsi="楷体" w:eastAsia="楷体"/>
                      <w:lang w:val="en-US" w:eastAsia="zh-CN"/>
                    </w:rPr>
                    <w:t>环保局</w:t>
                  </w:r>
                </w:p>
              </w:tc>
              <w:tc>
                <w:tcPr>
                  <w:tcW w:w="1777" w:type="pct"/>
                  <w:noWrap w:val="0"/>
                  <w:vAlign w:val="center"/>
                </w:tcPr>
                <w:p>
                  <w:pPr>
                    <w:rPr>
                      <w:rFonts w:ascii="楷体" w:hAnsi="楷体" w:eastAsia="楷体"/>
                    </w:rPr>
                  </w:pPr>
                  <w:r>
                    <w:rPr>
                      <w:rFonts w:hint="eastAsia" w:ascii="楷体" w:hAnsi="楷体" w:eastAsia="楷体"/>
                    </w:rPr>
                    <w:t>符合环境法律法规要求</w:t>
                  </w:r>
                </w:p>
              </w:tc>
              <w:tc>
                <w:tcPr>
                  <w:tcW w:w="1888" w:type="pct"/>
                  <w:noWrap w:val="0"/>
                  <w:vAlign w:val="center"/>
                </w:tcPr>
                <w:p>
                  <w:pPr>
                    <w:rPr>
                      <w:rFonts w:ascii="楷体" w:hAnsi="楷体" w:eastAsia="楷体"/>
                    </w:rPr>
                  </w:pPr>
                  <w:r>
                    <w:rPr>
                      <w:rFonts w:hint="eastAsia" w:ascii="楷体" w:hAnsi="楷体" w:eastAsia="楷体"/>
                    </w:rPr>
                    <w:t>建立</w:t>
                  </w:r>
                  <w:r>
                    <w:rPr>
                      <w:rFonts w:hint="eastAsia" w:ascii="楷体" w:hAnsi="楷体" w:eastAsia="楷体"/>
                      <w:lang w:eastAsia="zh-CN"/>
                    </w:rPr>
                    <w:t>ISO14001：2015</w:t>
                  </w:r>
                  <w:r>
                    <w:rPr>
                      <w:rFonts w:hint="eastAsia" w:ascii="楷体" w:hAnsi="楷体" w:eastAsia="楷体"/>
                    </w:rPr>
                    <w:t>管理体系并在公司实施，按要求力所能及的做好环境保护工作，如垃圾分类、废弃溶剂瓶或器皿收集处理、节能降耗等</w:t>
                  </w:r>
                </w:p>
              </w:tc>
              <w:tc>
                <w:tcPr>
                  <w:tcW w:w="777" w:type="pct"/>
                  <w:noWrap w:val="0"/>
                  <w:vAlign w:val="center"/>
                </w:tcPr>
                <w:p>
                  <w:pPr>
                    <w:rPr>
                      <w:rFonts w:ascii="楷体" w:hAnsi="楷体" w:eastAsia="楷体"/>
                    </w:rPr>
                  </w:pPr>
                  <w:r>
                    <w:rPr>
                      <w:rFonts w:hint="eastAsia" w:ascii="楷体" w:hAnsi="楷体" w:eastAsia="楷体"/>
                    </w:rPr>
                    <w:t>基本有按标准要求实施，基本满足要求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pct"/>
                  <w:noWrap w:val="0"/>
                  <w:vAlign w:val="center"/>
                </w:tcPr>
                <w:p>
                  <w:pPr>
                    <w:rPr>
                      <w:rFonts w:hint="eastAsia" w:ascii="楷体" w:hAnsi="楷体" w:eastAsia="楷体"/>
                      <w:lang w:eastAsia="zh-CN"/>
                    </w:rPr>
                  </w:pPr>
                  <w:r>
                    <w:rPr>
                      <w:rFonts w:hint="eastAsia" w:ascii="楷体" w:hAnsi="楷体" w:eastAsia="楷体"/>
                      <w:lang w:val="en-US" w:eastAsia="zh-CN"/>
                    </w:rPr>
                    <w:t>安监局</w:t>
                  </w:r>
                </w:p>
              </w:tc>
              <w:tc>
                <w:tcPr>
                  <w:tcW w:w="1777" w:type="pct"/>
                  <w:noWrap w:val="0"/>
                  <w:vAlign w:val="center"/>
                </w:tcPr>
                <w:p>
                  <w:pPr>
                    <w:pStyle w:val="16"/>
                    <w:numPr>
                      <w:ilvl w:val="0"/>
                      <w:numId w:val="8"/>
                    </w:numPr>
                    <w:ind w:firstLineChars="0"/>
                    <w:rPr>
                      <w:rFonts w:hint="eastAsia" w:ascii="楷体" w:hAnsi="楷体" w:eastAsia="楷体"/>
                    </w:rPr>
                  </w:pPr>
                  <w:r>
                    <w:rPr>
                      <w:rFonts w:hint="eastAsia" w:ascii="楷体" w:hAnsi="楷体" w:eastAsia="楷体"/>
                    </w:rPr>
                    <w:t>防止清洁药品泄漏伤害；</w:t>
                  </w:r>
                </w:p>
                <w:p>
                  <w:pPr>
                    <w:pStyle w:val="16"/>
                    <w:numPr>
                      <w:ilvl w:val="0"/>
                      <w:numId w:val="8"/>
                    </w:numPr>
                    <w:ind w:firstLineChars="0"/>
                    <w:rPr>
                      <w:rFonts w:ascii="楷体" w:hAnsi="楷体" w:eastAsia="楷体"/>
                    </w:rPr>
                  </w:pPr>
                  <w:r>
                    <w:rPr>
                      <w:rFonts w:hint="eastAsia" w:ascii="楷体" w:hAnsi="楷体" w:eastAsia="楷体"/>
                    </w:rPr>
                    <w:t>防止高处作业摔伤伤害等</w:t>
                  </w:r>
                </w:p>
              </w:tc>
              <w:tc>
                <w:tcPr>
                  <w:tcW w:w="1888" w:type="pct"/>
                  <w:noWrap w:val="0"/>
                  <w:vAlign w:val="center"/>
                </w:tcPr>
                <w:p>
                  <w:pPr>
                    <w:rPr>
                      <w:rFonts w:ascii="楷体" w:hAnsi="楷体" w:eastAsia="楷体"/>
                    </w:rPr>
                  </w:pPr>
                  <w:r>
                    <w:rPr>
                      <w:rFonts w:hint="eastAsia" w:ascii="楷体" w:hAnsi="楷体" w:eastAsia="楷体"/>
                    </w:rPr>
                    <w:t>建立防泄漏及高处作业摔伤伤害应急预案并根据实际情况定期演练等</w:t>
                  </w:r>
                </w:p>
              </w:tc>
              <w:tc>
                <w:tcPr>
                  <w:tcW w:w="777" w:type="pct"/>
                  <w:noWrap w:val="0"/>
                  <w:vAlign w:val="center"/>
                </w:tcPr>
                <w:p>
                  <w:pPr>
                    <w:rPr>
                      <w:rFonts w:ascii="楷体" w:hAnsi="楷体" w:eastAsia="楷体"/>
                    </w:rPr>
                  </w:pPr>
                  <w:r>
                    <w:rPr>
                      <w:rFonts w:hint="eastAsia" w:ascii="楷体" w:hAnsi="楷体" w:eastAsia="楷体"/>
                    </w:rPr>
                    <w:t>有按要求建立应急预案等基本满足要求，</w:t>
                  </w:r>
                </w:p>
              </w:tc>
            </w:tr>
          </w:tbl>
          <w:p>
            <w:pPr>
              <w:keepNext w:val="0"/>
              <w:keepLines w:val="0"/>
              <w:suppressLineNumbers w:val="0"/>
              <w:spacing w:before="0" w:beforeAutospacing="0" w:after="0" w:afterAutospacing="0"/>
              <w:ind w:left="0" w:leftChars="0" w:right="0" w:rightChars="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A3"/>
            </w:r>
            <w:r>
              <w:rPr>
                <w:rFonts w:hint="eastAsia"/>
              </w:rPr>
              <w:t xml:space="preserve">设计和开发 </w:t>
            </w:r>
            <w:r>
              <w:rPr>
                <w:rFonts w:hint="eastAsia"/>
                <w:lang w:eastAsia="zh-CN"/>
              </w:rPr>
              <w:sym w:font="Wingdings 2" w:char="0052"/>
            </w:r>
            <w:r>
              <w:rPr>
                <w:rFonts w:hint="eastAsia"/>
              </w:rPr>
              <w:t xml:space="preserve">采购 ☑人力资源☑营销和市场  </w:t>
            </w:r>
            <w:r>
              <w:rPr>
                <w:rFonts w:hint="eastAsia"/>
                <w:lang w:eastAsia="zh-CN"/>
              </w:rPr>
              <w:sym w:font="Wingdings 2" w:char="00A3"/>
            </w:r>
            <w:r>
              <w:rPr>
                <w:rFonts w:hint="eastAsia"/>
              </w:rPr>
              <w:t xml:space="preserve">生产 </w:t>
            </w:r>
            <w:r>
              <w:rPr>
                <w:rFonts w:hint="eastAsia"/>
                <w:lang w:eastAsia="zh-CN"/>
              </w:rPr>
              <w:t>□</w:t>
            </w:r>
            <w:r>
              <w:rPr>
                <w:rFonts w:hint="eastAsia"/>
              </w:rPr>
              <w:t xml:space="preserve">检验 </w:t>
            </w:r>
            <w:r>
              <w:rPr>
                <w:rFonts w:hint="eastAsia"/>
                <w:lang w:eastAsia="zh-CN"/>
              </w:rPr>
              <w:sym w:font="Wingdings 2" w:char="0052"/>
            </w:r>
            <w:r>
              <w:rPr>
                <w:rFonts w:hint="eastAsia"/>
              </w:rPr>
              <w:t xml:space="preserve">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w:t>
            </w:r>
            <w:r>
              <w:rPr>
                <w:rFonts w:hint="eastAsia"/>
              </w:rPr>
              <w:sym w:font="Wingdings 2" w:char="0052"/>
            </w:r>
            <w:r>
              <w:rPr>
                <w:rFonts w:hint="eastAsia"/>
              </w:rPr>
              <w:t>达标排放 ☑消防控制</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□危险废物处置 □消防检测 </w:t>
            </w:r>
            <w:r>
              <w:rPr>
                <w:rFonts w:hint="eastAsia"/>
              </w:rPr>
              <w:sym w:font="Wingdings 2" w:char="00A3"/>
            </w:r>
            <w:r>
              <w:rPr>
                <w:rFonts w:hint="eastAsia"/>
              </w:rPr>
              <w:t>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lang w:eastAsia="zh-CN"/>
              </w:rPr>
            </w:pPr>
            <w:r>
              <w:rPr>
                <w:rFonts w:hint="eastAsia"/>
              </w:rPr>
              <w:t>最高管理者制定了文件化的管理体系方针：</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u w:val="single"/>
                <w:lang w:val="en-US" w:eastAsia="zh-CN"/>
              </w:rPr>
              <w:t>服务至上，诚信第一；规范管理，遵纪守法；预防污染，保护环境；保障安全，持续改进。 。</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EMS的主管部门是——</w:t>
            </w:r>
            <w:r>
              <w:rPr>
                <w:rFonts w:hint="eastAsia"/>
                <w:lang w:val="en-US" w:eastAsia="zh-CN"/>
              </w:rPr>
              <w:t>综合部</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13"/>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42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2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hint="eastAsia" w:ascii="宋体" w:hAnsi="宋体"/>
                      <w:color w:val="333333"/>
                      <w:sz w:val="18"/>
                      <w:szCs w:val="18"/>
                    </w:rPr>
                  </w:pPr>
                  <w:r>
                    <w:rPr>
                      <w:rFonts w:hint="eastAsia" w:ascii="宋体" w:hAnsi="宋体"/>
                      <w:color w:val="333333"/>
                      <w:sz w:val="18"/>
                      <w:szCs w:val="18"/>
                    </w:rPr>
                    <w:t>1.对市场需要</w:t>
                  </w:r>
                  <w:r>
                    <w:rPr>
                      <w:rFonts w:hint="eastAsia" w:ascii="宋体" w:hAnsi="宋体"/>
                      <w:color w:val="333333"/>
                      <w:sz w:val="18"/>
                      <w:szCs w:val="18"/>
                      <w:lang w:eastAsia="zh-CN"/>
                    </w:rPr>
                    <w:t>服务</w:t>
                  </w:r>
                  <w:r>
                    <w:rPr>
                      <w:rFonts w:hint="eastAsia" w:ascii="宋体" w:hAnsi="宋体"/>
                      <w:color w:val="333333"/>
                      <w:sz w:val="18"/>
                      <w:szCs w:val="18"/>
                    </w:rPr>
                    <w:t xml:space="preserve">的发展趋势判断失误。 </w:t>
                  </w:r>
                </w:p>
                <w:p>
                  <w:pPr>
                    <w:rPr>
                      <w:rFonts w:hint="eastAsia" w:ascii="宋体" w:hAnsi="宋体"/>
                      <w:color w:val="333333"/>
                      <w:sz w:val="18"/>
                      <w:szCs w:val="18"/>
                    </w:rPr>
                  </w:pPr>
                  <w:r>
                    <w:rPr>
                      <w:rFonts w:hint="eastAsia" w:ascii="宋体" w:hAnsi="宋体"/>
                      <w:color w:val="333333"/>
                      <w:sz w:val="18"/>
                      <w:szCs w:val="18"/>
                    </w:rPr>
                    <w:t>2.客户要求识别不完整。</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ascii="宋体" w:hAnsi="宋体"/>
                      <w:color w:val="333333"/>
                      <w:sz w:val="18"/>
                      <w:szCs w:val="18"/>
                    </w:rPr>
                    <w:t>3.未能确保能够满足客户要求就签署合同。</w:t>
                  </w:r>
                </w:p>
              </w:tc>
              <w:tc>
                <w:tcPr>
                  <w:tcW w:w="4224" w:type="dxa"/>
                </w:tcPr>
                <w:p>
                  <w:pPr>
                    <w:rPr>
                      <w:rFonts w:hint="eastAsia" w:ascii="宋体" w:hAnsi="宋体"/>
                      <w:color w:val="333333"/>
                      <w:sz w:val="18"/>
                      <w:szCs w:val="18"/>
                    </w:rPr>
                  </w:pPr>
                  <w:r>
                    <w:rPr>
                      <w:rFonts w:hint="eastAsia" w:ascii="宋体" w:hAnsi="宋体"/>
                      <w:color w:val="333333"/>
                      <w:sz w:val="18"/>
                      <w:szCs w:val="18"/>
                    </w:rPr>
                    <w:t>1.对市场需求</w:t>
                  </w:r>
                  <w:r>
                    <w:rPr>
                      <w:rFonts w:hint="eastAsia" w:ascii="宋体" w:hAnsi="宋体"/>
                      <w:color w:val="333333"/>
                      <w:sz w:val="18"/>
                      <w:szCs w:val="18"/>
                      <w:lang w:eastAsia="zh-CN"/>
                    </w:rPr>
                    <w:t>服务</w:t>
                  </w:r>
                  <w:r>
                    <w:rPr>
                      <w:rFonts w:hint="eastAsia" w:ascii="宋体" w:hAnsi="宋体"/>
                      <w:color w:val="333333"/>
                      <w:sz w:val="18"/>
                      <w:szCs w:val="18"/>
                    </w:rPr>
                    <w:t>的发展趋势分析应该经过反复论证。</w:t>
                  </w:r>
                </w:p>
                <w:p>
                  <w:pPr>
                    <w:rPr>
                      <w:rFonts w:hint="eastAsia" w:ascii="宋体" w:hAnsi="宋体"/>
                      <w:color w:val="333333"/>
                      <w:sz w:val="18"/>
                      <w:szCs w:val="18"/>
                    </w:rPr>
                  </w:pPr>
                  <w:r>
                    <w:rPr>
                      <w:rFonts w:hint="eastAsia" w:ascii="宋体" w:hAnsi="宋体"/>
                      <w:color w:val="333333"/>
                      <w:sz w:val="18"/>
                      <w:szCs w:val="18"/>
                    </w:rPr>
                    <w:t xml:space="preserve">2.对客户的要求实施监视和测量。 </w:t>
                  </w:r>
                </w:p>
                <w:p>
                  <w:pPr>
                    <w:rPr>
                      <w:rFonts w:hint="eastAsia" w:ascii="宋体" w:hAnsi="宋体"/>
                      <w:color w:val="333333"/>
                      <w:sz w:val="18"/>
                      <w:szCs w:val="18"/>
                    </w:rPr>
                  </w:pPr>
                  <w:r>
                    <w:rPr>
                      <w:rFonts w:hint="eastAsia" w:ascii="宋体" w:hAnsi="宋体"/>
                      <w:color w:val="333333"/>
                      <w:sz w:val="18"/>
                      <w:szCs w:val="18"/>
                    </w:rPr>
                    <w:t>3.在确定与客户签署合同前落实合同评审事宜。</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top"/>
                </w:tcPr>
                <w:p>
                  <w:pPr>
                    <w:rPr>
                      <w:rFonts w:hint="eastAsia" w:ascii="宋体" w:hAnsi="宋体"/>
                      <w:color w:val="333333"/>
                      <w:sz w:val="18"/>
                      <w:szCs w:val="18"/>
                    </w:rPr>
                  </w:pPr>
                  <w:r>
                    <w:rPr>
                      <w:rFonts w:hint="eastAsia" w:ascii="宋体" w:hAnsi="宋体"/>
                      <w:color w:val="333333"/>
                      <w:sz w:val="18"/>
                      <w:szCs w:val="18"/>
                    </w:rPr>
                    <w:t xml:space="preserve">设备能力不足。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ascii="宋体" w:hAnsi="宋体"/>
                      <w:color w:val="333333"/>
                      <w:sz w:val="18"/>
                      <w:szCs w:val="18"/>
                    </w:rPr>
                    <w:t>设备经常损坏，影响</w:t>
                  </w:r>
                  <w:r>
                    <w:rPr>
                      <w:rFonts w:hint="eastAsia" w:ascii="宋体" w:hAnsi="宋体"/>
                      <w:color w:val="333333"/>
                      <w:sz w:val="18"/>
                      <w:szCs w:val="18"/>
                      <w:lang w:eastAsia="zh-CN"/>
                    </w:rPr>
                    <w:t>服务</w:t>
                  </w:r>
                  <w:r>
                    <w:rPr>
                      <w:rFonts w:hint="eastAsia" w:ascii="宋体" w:hAnsi="宋体"/>
                      <w:color w:val="333333"/>
                      <w:sz w:val="18"/>
                      <w:szCs w:val="18"/>
                    </w:rPr>
                    <w:t>进度。</w:t>
                  </w:r>
                </w:p>
              </w:tc>
              <w:tc>
                <w:tcPr>
                  <w:tcW w:w="4224" w:type="dxa"/>
                </w:tcPr>
                <w:p>
                  <w:pPr>
                    <w:rPr>
                      <w:rFonts w:hint="eastAsia" w:ascii="宋体" w:hAnsi="宋体"/>
                      <w:color w:val="333333"/>
                      <w:sz w:val="18"/>
                      <w:szCs w:val="18"/>
                    </w:rPr>
                  </w:pPr>
                  <w:r>
                    <w:rPr>
                      <w:rFonts w:hint="eastAsia" w:ascii="宋体" w:hAnsi="宋体"/>
                      <w:color w:val="333333"/>
                      <w:sz w:val="18"/>
                      <w:szCs w:val="18"/>
                    </w:rPr>
                    <w:t xml:space="preserve">1.设备的保养及备件储备。 </w:t>
                  </w:r>
                </w:p>
                <w:p>
                  <w:pPr>
                    <w:rPr>
                      <w:rFonts w:hint="eastAsia"/>
                      <w:color w:val="auto"/>
                      <w:vertAlign w:val="baseline"/>
                      <w:lang w:val="en-US" w:eastAsia="zh-CN"/>
                    </w:rPr>
                  </w:pPr>
                  <w:r>
                    <w:rPr>
                      <w:rFonts w:hint="eastAsia" w:ascii="宋体" w:hAnsi="宋体"/>
                      <w:color w:val="333333"/>
                      <w:sz w:val="18"/>
                      <w:szCs w:val="18"/>
                    </w:rPr>
                    <w:t>2.建立完整的设备故障应急预案， 以确保</w:t>
                  </w:r>
                  <w:r>
                    <w:rPr>
                      <w:rFonts w:hint="eastAsia" w:ascii="宋体" w:hAnsi="宋体"/>
                      <w:color w:val="333333"/>
                      <w:sz w:val="18"/>
                      <w:szCs w:val="18"/>
                      <w:lang w:eastAsia="zh-CN"/>
                    </w:rPr>
                    <w:t>服务</w:t>
                  </w:r>
                  <w:r>
                    <w:rPr>
                      <w:rFonts w:hint="eastAsia" w:ascii="宋体" w:hAnsi="宋体"/>
                      <w:color w:val="333333"/>
                      <w:sz w:val="18"/>
                      <w:szCs w:val="18"/>
                    </w:rPr>
                    <w:t xml:space="preserve">过程的持续流畅。 </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2"/>
              <w:keepNext w:val="0"/>
              <w:keepLines w:val="0"/>
              <w:suppressLineNumbers w:val="0"/>
              <w:spacing w:beforeAutospacing="0" w:afterAutospacing="0"/>
              <w:ind w:left="0" w:right="0"/>
              <w:rPr>
                <w:rFonts w:hint="eastAsia" w:ascii="Times New Roman" w:hAnsi="Times New Roman" w:eastAsia="宋体" w:cs="Times New Roman"/>
                <w:bCs/>
                <w:spacing w:val="1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 xml:space="preserve">☑能源消耗  ☑资源消耗 ☑废水排放  □废气排放 </w:t>
            </w:r>
            <w:r>
              <w:rPr>
                <w:rFonts w:hint="eastAsia"/>
              </w:rPr>
              <w:sym w:font="Wingdings 2" w:char="00A3"/>
            </w:r>
            <w:r>
              <w:rPr>
                <w:rFonts w:hint="eastAsia"/>
              </w:rPr>
              <w:t xml:space="preserve">粉尘排放  </w:t>
            </w:r>
            <w:r>
              <w:rPr>
                <w:rFonts w:hint="eastAsia"/>
              </w:rPr>
              <w:sym w:font="Wingdings 2" w:char="00A3"/>
            </w:r>
            <w:r>
              <w:rPr>
                <w:rFonts w:hint="eastAsia"/>
              </w:rPr>
              <w:t xml:space="preserve">危废排放 </w:t>
            </w:r>
            <w:r>
              <w:rPr>
                <w:rFonts w:hint="eastAsia"/>
                <w:lang w:eastAsia="zh-CN"/>
              </w:rPr>
              <w:t>□</w:t>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sym w:font="Wingdings 2" w:char="00A3"/>
            </w:r>
            <w:r>
              <w:rPr>
                <w:rFonts w:hint="eastAsia"/>
              </w:rPr>
              <w:t xml:space="preserve">环境影响报告表日期：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lang w:val="en-US" w:eastAsia="zh-CN"/>
              </w:rPr>
              <w:t>环境影响报告表</w:t>
            </w:r>
            <w:r>
              <w:rPr>
                <w:rFonts w:hint="eastAsia"/>
                <w:color w:val="000000"/>
                <w:lang w:val="en-US" w:eastAsia="zh-CN"/>
              </w:rPr>
              <w:t>编号：</w:t>
            </w:r>
            <w:r>
              <w:rPr>
                <w:rFonts w:hint="eastAsia"/>
                <w:color w:val="000000"/>
                <w:u w:val="single"/>
                <w:lang w:val="en-US" w:eastAsia="zh-CN"/>
              </w:rPr>
              <w:t xml:space="preserve">   </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color w:val="000000"/>
                <w:szCs w:val="18"/>
                <w:u w:val="single"/>
              </w:rPr>
            </w:pPr>
            <w:r>
              <w:rPr>
                <w:rFonts w:hint="eastAsia"/>
                <w:lang w:eastAsia="zh-CN"/>
              </w:rPr>
              <w:t>□</w:t>
            </w:r>
            <w:r>
              <w:rPr>
                <w:rFonts w:hint="eastAsia"/>
              </w:rPr>
              <w:t>消防验收/备案证明日期：</w:t>
            </w: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w:t>
            </w:r>
            <w:r>
              <w:rPr>
                <w:rFonts w:hint="eastAsia"/>
              </w:rPr>
              <w:sym w:font="Wingdings 2" w:char="00A3"/>
            </w:r>
            <w:r>
              <w:rPr>
                <w:rFonts w:hint="eastAsia"/>
              </w:rPr>
              <w:t xml:space="preserve">除尘设备 </w:t>
            </w:r>
            <w:r>
              <w:rPr>
                <w:rFonts w:hint="eastAsia"/>
              </w:rPr>
              <w:sym w:font="Wingdings 2" w:char="00A3"/>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52"/>
            </w:r>
            <w:r>
              <w:rPr>
                <w:rFonts w:hint="eastAsia"/>
              </w:rPr>
              <w:t xml:space="preserve">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12"/>
              <w:tblpPr w:leftFromText="180" w:rightFromText="180" w:vertAnchor="text" w:horzAnchor="page" w:tblpX="93" w:tblpY="29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3"/>
              <w:gridCol w:w="1004"/>
              <w:gridCol w:w="2246"/>
              <w:gridCol w:w="1145"/>
              <w:gridCol w:w="2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top"/>
                </w:tcPr>
                <w:p>
                  <w:pPr>
                    <w:tabs>
                      <w:tab w:val="left" w:pos="855"/>
                    </w:tabs>
                    <w:snapToGrid w:val="0"/>
                    <w:jc w:val="center"/>
                    <w:rPr>
                      <w:rFonts w:hint="default" w:ascii="宋体" w:hAnsi="宋体"/>
                      <w:kern w:val="2"/>
                      <w:szCs w:val="24"/>
                      <w:lang w:val="en-US" w:eastAsia="zh-CN"/>
                    </w:rPr>
                  </w:pPr>
                  <w:r>
                    <w:rPr>
                      <w:rFonts w:hint="eastAsia" w:ascii="宋体" w:hAnsi="宋体" w:eastAsia="宋体" w:cs="宋体"/>
                      <w:sz w:val="21"/>
                      <w:szCs w:val="21"/>
                    </w:rPr>
                    <w:t>目标项目</w:t>
                  </w:r>
                </w:p>
              </w:tc>
              <w:tc>
                <w:tcPr>
                  <w:tcW w:w="1004" w:type="dxa"/>
                  <w:shd w:val="clear" w:color="auto" w:fill="auto"/>
                  <w:vAlign w:val="top"/>
                </w:tcPr>
                <w:p>
                  <w:pPr>
                    <w:tabs>
                      <w:tab w:val="left" w:pos="855"/>
                    </w:tabs>
                    <w:snapToGrid w:val="0"/>
                    <w:jc w:val="center"/>
                    <w:rPr>
                      <w:rFonts w:hint="eastAsia" w:ascii="宋体" w:hAnsi="宋体"/>
                      <w:kern w:val="2"/>
                      <w:szCs w:val="24"/>
                      <w:lang w:val="en-US" w:eastAsia="zh-CN"/>
                    </w:rPr>
                  </w:pPr>
                  <w:r>
                    <w:rPr>
                      <w:rFonts w:hint="eastAsia" w:ascii="宋体" w:hAnsi="宋体" w:eastAsia="宋体" w:cs="宋体"/>
                      <w:sz w:val="21"/>
                      <w:szCs w:val="21"/>
                    </w:rPr>
                    <w:t>目标值</w:t>
                  </w:r>
                </w:p>
              </w:tc>
              <w:tc>
                <w:tcPr>
                  <w:tcW w:w="2246"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145"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2327"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目标实际完成（2021.06-2021.12）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固废合理处理率</w:t>
                  </w:r>
                </w:p>
              </w:tc>
              <w:tc>
                <w:tcPr>
                  <w:tcW w:w="100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100%</w:t>
                  </w:r>
                </w:p>
              </w:tc>
              <w:tc>
                <w:tcPr>
                  <w:tcW w:w="2246"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检查数据统计</w:t>
                  </w:r>
                </w:p>
              </w:tc>
              <w:tc>
                <w:tcPr>
                  <w:tcW w:w="1145"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327"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100</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火灾事故</w:t>
                  </w:r>
                </w:p>
              </w:tc>
              <w:tc>
                <w:tcPr>
                  <w:tcW w:w="100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p>
              </w:tc>
              <w:tc>
                <w:tcPr>
                  <w:tcW w:w="2246"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事件登记信息</w:t>
                  </w:r>
                </w:p>
              </w:tc>
              <w:tc>
                <w:tcPr>
                  <w:tcW w:w="1145"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327"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0</w:t>
                  </w: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u w:val="single"/>
                <w:lang w:val="en-US" w:eastAsia="zh-CN"/>
              </w:rPr>
              <w:t>垃圾桶、四分类垃圾车、业务操作系统</w:t>
            </w:r>
            <w:r>
              <w:rPr>
                <w:rFonts w:hint="eastAsia"/>
                <w:u w:val="single"/>
              </w:rPr>
              <w:t xml:space="preserve"> （列举2~4种）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w:t>
            </w:r>
            <w:r>
              <w:rPr>
                <w:rFonts w:hint="eastAsia"/>
                <w:u w:val="single"/>
                <w:lang w:val="en-US" w:eastAsia="zh-CN"/>
              </w:rPr>
              <w:t>垃圾桶</w:t>
            </w:r>
            <w:r>
              <w:rPr>
                <w:rFonts w:hint="eastAsia"/>
                <w:u w:val="single"/>
              </w:rPr>
              <w:t xml:space="preserve">          （列举2~4种）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A8"/>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szCs w:val="22"/>
                <w:u w:val="single"/>
                <w:lang w:val="en-US" w:eastAsia="zh-CN"/>
              </w:rPr>
              <w:t xml:space="preserve">    无</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MSDS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tbl>
            <w:tblPr>
              <w:tblStyle w:val="12"/>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246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vertAlign w:val="baseline"/>
                      <w:lang w:val="en-US" w:eastAsia="zh-CN"/>
                    </w:rPr>
                    <w:t>主要环境因素</w:t>
                  </w:r>
                </w:p>
              </w:tc>
              <w:tc>
                <w:tcPr>
                  <w:tcW w:w="2460" w:type="dxa"/>
                  <w:shd w:val="clear" w:color="auto" w:fill="auto"/>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状态</w:t>
                  </w:r>
                </w:p>
              </w:tc>
              <w:tc>
                <w:tcPr>
                  <w:tcW w:w="4680" w:type="dxa"/>
                  <w:shd w:val="clear" w:color="auto" w:fill="auto"/>
                  <w:vAlign w:val="top"/>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vertAlign w:val="baseline"/>
                      <w:lang w:val="en-US" w:eastAsia="zh-CN"/>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火灾</w:t>
                  </w:r>
                </w:p>
              </w:tc>
              <w:tc>
                <w:tcPr>
                  <w:tcW w:w="246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GB" w:eastAsia="zh-CN" w:bidi="ar-SA"/>
                    </w:rPr>
                  </w:pPr>
                  <w:r>
                    <w:rPr>
                      <w:rFonts w:hint="default"/>
                      <w:color w:val="000000"/>
                      <w:lang w:val="en-US" w:eastAsia="zh-CN"/>
                    </w:rPr>
                    <w:sym w:font="Wingdings" w:char="00A8"/>
                  </w:r>
                  <w:r>
                    <w:rPr>
                      <w:rFonts w:hint="eastAsia"/>
                      <w:color w:val="000000"/>
                      <w:lang w:val="en-US" w:eastAsia="zh-CN"/>
                    </w:rPr>
                    <w:t xml:space="preserve">正常 </w:t>
                  </w:r>
                  <w:r>
                    <w:rPr>
                      <w:rFonts w:hint="default"/>
                      <w:color w:val="000000"/>
                      <w:lang w:val="en-US" w:eastAsia="zh-CN"/>
                    </w:rPr>
                    <w:sym w:font="Wingdings" w:char="00FE"/>
                  </w:r>
                  <w:r>
                    <w:rPr>
                      <w:rFonts w:hint="eastAsia"/>
                      <w:color w:val="000000"/>
                      <w:lang w:val="en-US" w:eastAsia="zh-CN"/>
                    </w:rPr>
                    <w:t xml:space="preserve">异常 </w:t>
                  </w:r>
                  <w:r>
                    <w:rPr>
                      <w:rFonts w:hint="default"/>
                      <w:color w:val="000000"/>
                      <w:lang w:val="en-US" w:eastAsia="zh-CN"/>
                    </w:rPr>
                    <w:sym w:font="Wingdings" w:char="00FE"/>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管理方案/应急预案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default"/>
                      <w:highlight w:val="none"/>
                      <w:lang w:val="en-US"/>
                    </w:rPr>
                  </w:pPr>
                  <w:r>
                    <w:rPr>
                      <w:rFonts w:hint="eastAsia"/>
                      <w:highlight w:val="none"/>
                      <w:lang w:val="en-US" w:eastAsia="zh-CN"/>
                    </w:rPr>
                    <w:t>固体废弃物排放</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highlight w:val="none"/>
                      <w:lang w:val="en-US" w:eastAsia="zh-CN" w:bidi="ar-SA"/>
                    </w:rPr>
                  </w:pPr>
                  <w:r>
                    <w:rPr>
                      <w:rFonts w:hint="default"/>
                      <w:color w:val="000000"/>
                      <w:highlight w:val="none"/>
                      <w:lang w:val="en-US" w:eastAsia="zh-CN"/>
                    </w:rPr>
                    <w:sym w:font="Wingdings" w:char="00FE"/>
                  </w:r>
                  <w:r>
                    <w:rPr>
                      <w:rFonts w:hint="eastAsia"/>
                      <w:color w:val="000000"/>
                      <w:highlight w:val="none"/>
                      <w:lang w:val="en-US" w:eastAsia="zh-CN"/>
                    </w:rPr>
                    <w:t xml:space="preserve">正常 </w:t>
                  </w:r>
                  <w:r>
                    <w:rPr>
                      <w:rFonts w:hint="default"/>
                      <w:color w:val="000000"/>
                      <w:highlight w:val="none"/>
                      <w:lang w:val="en-US" w:eastAsia="zh-CN"/>
                    </w:rPr>
                    <w:sym w:font="Wingdings" w:char="00A8"/>
                  </w:r>
                  <w:r>
                    <w:rPr>
                      <w:rFonts w:hint="eastAsia"/>
                      <w:color w:val="000000"/>
                      <w:highlight w:val="none"/>
                      <w:lang w:val="en-US" w:eastAsia="zh-CN"/>
                    </w:rPr>
                    <w:t xml:space="preserve">异常 </w:t>
                  </w:r>
                  <w:r>
                    <w:rPr>
                      <w:rFonts w:hint="default"/>
                      <w:color w:val="000000"/>
                      <w:highlight w:val="none"/>
                      <w:lang w:val="en-US" w:eastAsia="zh-CN"/>
                    </w:rPr>
                    <w:sym w:font="Wingdings" w:char="00A8"/>
                  </w:r>
                  <w:r>
                    <w:rPr>
                      <w:rFonts w:hint="eastAsia"/>
                      <w:color w:val="000000"/>
                      <w:highlight w:val="none"/>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highlight w:val="none"/>
                      <w:lang w:val="en-US" w:eastAsia="zh-CN" w:bidi="ar-SA"/>
                    </w:rPr>
                  </w:pPr>
                  <w:r>
                    <w:rPr>
                      <w:rFonts w:hint="default" w:ascii="宋体" w:hAnsi="宋体" w:eastAsia="宋体" w:cs="Times New Roman"/>
                      <w:kern w:val="2"/>
                      <w:sz w:val="21"/>
                      <w:szCs w:val="24"/>
                      <w:highlight w:val="none"/>
                      <w:lang w:val="en-US" w:eastAsia="zh-CN" w:bidi="ar-SA"/>
                    </w:rPr>
                    <w:t>指定有资格的处理商处理，签定处置协议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default"/>
                      <w:lang w:val="en-US"/>
                    </w:rPr>
                  </w:pPr>
                  <w:r>
                    <w:rPr>
                      <w:rFonts w:hint="eastAsia"/>
                      <w:lang w:val="en-US" w:eastAsia="zh-CN"/>
                    </w:rPr>
                    <w:t>能源/资源消耗</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A8"/>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管理方案/运行控制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0" w:type="dxa"/>
                  <w:shd w:val="clear" w:color="auto" w:fill="auto"/>
                  <w:vAlign w:val="top"/>
                </w:tcPr>
                <w:p>
                  <w:pPr>
                    <w:keepNext w:val="0"/>
                    <w:keepLines w:val="0"/>
                    <w:suppressLineNumbers w:val="0"/>
                    <w:spacing w:before="0" w:beforeAutospacing="0" w:after="0" w:afterAutospacing="0"/>
                    <w:ind w:left="0" w:leftChars="0" w:right="0" w:rightChars="0"/>
                    <w:rPr>
                      <w:rFonts w:hint="eastAsia"/>
                    </w:rPr>
                  </w:pPr>
                  <w:r>
                    <w:rPr>
                      <w:rFonts w:hint="eastAsia"/>
                      <w:lang w:val="en-US" w:eastAsia="zh-CN"/>
                    </w:rPr>
                    <w:t>废水排放</w:t>
                  </w:r>
                </w:p>
              </w:tc>
              <w:tc>
                <w:tcPr>
                  <w:tcW w:w="246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default"/>
                      <w:color w:val="000000"/>
                      <w:lang w:val="en-US" w:eastAsia="zh-CN"/>
                    </w:rPr>
                    <w:sym w:font="Wingdings" w:char="00FE"/>
                  </w:r>
                  <w:r>
                    <w:rPr>
                      <w:rFonts w:hint="eastAsia"/>
                      <w:color w:val="000000"/>
                      <w:lang w:val="en-US" w:eastAsia="zh-CN"/>
                    </w:rPr>
                    <w:t xml:space="preserve">正常 </w:t>
                  </w:r>
                  <w:r>
                    <w:rPr>
                      <w:rFonts w:hint="default"/>
                      <w:color w:val="000000"/>
                      <w:lang w:val="en-US" w:eastAsia="zh-CN"/>
                    </w:rPr>
                    <w:sym w:font="Wingdings" w:char="00A8"/>
                  </w:r>
                  <w:r>
                    <w:rPr>
                      <w:rFonts w:hint="eastAsia"/>
                      <w:color w:val="000000"/>
                      <w:lang w:val="en-US" w:eastAsia="zh-CN"/>
                    </w:rPr>
                    <w:t xml:space="preserve">异常 </w:t>
                  </w:r>
                  <w:r>
                    <w:rPr>
                      <w:rFonts w:hint="default"/>
                      <w:color w:val="000000"/>
                      <w:lang w:val="en-US" w:eastAsia="zh-CN"/>
                    </w:rPr>
                    <w:sym w:font="Wingdings" w:char="00A8"/>
                  </w:r>
                  <w:r>
                    <w:rPr>
                      <w:rFonts w:hint="eastAsia"/>
                      <w:color w:val="000000"/>
                      <w:lang w:val="en-US" w:eastAsia="zh-CN"/>
                    </w:rPr>
                    <w:t xml:space="preserve">紧急   </w:t>
                  </w:r>
                </w:p>
              </w:tc>
              <w:tc>
                <w:tcPr>
                  <w:tcW w:w="4680" w:type="dxa"/>
                  <w:shd w:val="clear" w:color="auto" w:fill="auto"/>
                  <w:vAlign w:val="center"/>
                </w:tcPr>
                <w:p>
                  <w:pPr>
                    <w:keepNext w:val="0"/>
                    <w:keepLines w:val="0"/>
                    <w:suppressLineNumbers w:val="0"/>
                    <w:spacing w:before="0" w:beforeAutospacing="0" w:after="0" w:afterAutospacing="0"/>
                    <w:ind w:left="0" w:leftChars="0" w:right="0" w:rightChars="0"/>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 xml:space="preserve">管理方案/运行控制 </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color w:val="auto"/>
              </w:rPr>
            </w:pPr>
            <w:r>
              <w:rPr>
                <w:rFonts w:hint="eastAsia"/>
                <w:color w:val="auto"/>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color w:val="auto"/>
                <w:u w:val="single"/>
              </w:rPr>
            </w:pPr>
            <w:r>
              <w:rPr>
                <w:rFonts w:hint="eastAsia"/>
                <w:color w:val="auto"/>
              </w:rPr>
              <w:t>特种设备管理：</w:t>
            </w:r>
            <w:r>
              <w:rPr>
                <w:rFonts w:hint="eastAsia"/>
                <w:color w:val="auto"/>
              </w:rPr>
              <w:sym w:font="Wingdings" w:char="00A8"/>
            </w:r>
            <w:r>
              <w:rPr>
                <w:rFonts w:hint="eastAsia"/>
                <w:color w:val="auto"/>
              </w:rPr>
              <w:t xml:space="preserve">进行了定期检验  </w:t>
            </w:r>
            <w:r>
              <w:rPr>
                <w:rFonts w:hint="eastAsia"/>
                <w:color w:val="auto"/>
              </w:rPr>
              <w:sym w:font="Wingdings" w:char="00A8"/>
            </w:r>
            <w:r>
              <w:rPr>
                <w:rFonts w:hint="eastAsia"/>
                <w:color w:val="auto"/>
              </w:rPr>
              <w:t xml:space="preserve">未进行定期检验的有： </w:t>
            </w:r>
            <w:r>
              <w:rPr>
                <w:rFonts w:hint="eastAsia"/>
                <w:color w:val="auto"/>
                <w:u w:val="single"/>
              </w:rPr>
              <w:t xml:space="preserve">      </w:t>
            </w:r>
            <w:r>
              <w:rPr>
                <w:rFonts w:hint="eastAsia"/>
                <w:color w:val="auto"/>
                <w:u w:val="single"/>
                <w:lang w:val="en-US" w:eastAsia="zh-CN"/>
              </w:rPr>
              <w:t>无</w:t>
            </w:r>
            <w:r>
              <w:rPr>
                <w:rFonts w:hint="eastAsia"/>
                <w:color w:val="auto"/>
                <w:u w:val="single"/>
              </w:rPr>
              <w:t xml:space="preserve">    </w:t>
            </w:r>
          </w:p>
          <w:p>
            <w:pPr>
              <w:keepNext w:val="0"/>
              <w:keepLines w:val="0"/>
              <w:suppressLineNumbers w:val="0"/>
              <w:spacing w:before="0" w:beforeAutospacing="0" w:after="0" w:afterAutospacing="0"/>
              <w:ind w:left="0" w:right="0"/>
              <w:rPr>
                <w:rFonts w:hint="eastAsia"/>
                <w:color w:val="auto"/>
              </w:rPr>
            </w:pPr>
            <w:r>
              <w:rPr>
                <w:rFonts w:hint="eastAsia"/>
                <w:color w:val="auto"/>
              </w:rPr>
              <w:t xml:space="preserve">特种设备检测报告，如：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2022年3月17日</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9296"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eastAsia="宋体"/>
                <w:color w:val="000000" w:themeColor="text1"/>
                <w:lang w:eastAsia="zh-CN"/>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w:t>
            </w:r>
            <w:r>
              <w:rPr>
                <w:rFonts w:hint="eastAsia"/>
                <w:color w:val="000000" w:themeColor="text1"/>
                <w:u w:val="single"/>
                <w:lang w:eastAsia="zh-CN"/>
              </w:rPr>
              <w:t>2022年1月11日</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A8"/>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rPr>
              <w:t xml:space="preserve">     </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rPr>
              <w:t xml:space="preserve"> </w:t>
            </w:r>
            <w:r>
              <w:rPr>
                <w:rFonts w:hint="eastAsia"/>
                <w:color w:val="000000"/>
                <w:szCs w:val="21"/>
                <w:u w:val="single"/>
                <w:lang w:eastAsia="zh-CN"/>
              </w:rPr>
              <w:t>2021年</w:t>
            </w:r>
            <w:r>
              <w:rPr>
                <w:rFonts w:hint="eastAsia"/>
                <w:color w:val="000000"/>
                <w:szCs w:val="21"/>
                <w:u w:val="single"/>
                <w:lang w:val="en-US" w:eastAsia="zh-CN"/>
              </w:rPr>
              <w:t>12</w:t>
            </w:r>
            <w:r>
              <w:rPr>
                <w:rFonts w:hint="eastAsia"/>
                <w:color w:val="000000"/>
                <w:szCs w:val="21"/>
                <w:u w:val="single"/>
                <w:lang w:eastAsia="zh-CN"/>
              </w:rPr>
              <w:t>月</w:t>
            </w:r>
            <w:r>
              <w:rPr>
                <w:rFonts w:hint="eastAsia"/>
                <w:color w:val="000000"/>
                <w:szCs w:val="21"/>
                <w:u w:val="single"/>
                <w:lang w:val="en-US" w:eastAsia="zh-CN"/>
              </w:rPr>
              <w:t>17-18</w:t>
            </w:r>
            <w:r>
              <w:rPr>
                <w:rFonts w:hint="eastAsia"/>
                <w:color w:val="000000"/>
                <w:szCs w:val="21"/>
                <w:u w:val="single"/>
                <w:lang w:eastAsia="zh-CN"/>
              </w:rPr>
              <w:t>日</w:t>
            </w:r>
            <w:r>
              <w:rPr>
                <w:rFonts w:hint="eastAsia"/>
                <w:color w:val="000000" w:themeColor="text1"/>
              </w:rPr>
              <w:t>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ascii="宋体" w:hAnsi="宋体" w:cs="宋体"/>
                <w:szCs w:val="21"/>
                <w:lang w:val="en-US" w:eastAsia="zh-CN"/>
              </w:rPr>
              <w:t xml:space="preserve"> </w:t>
            </w:r>
            <w:r>
              <w:rPr>
                <w:rFonts w:hint="eastAsia" w:ascii="宋体" w:hAnsi="宋体" w:cs="宋体"/>
                <w:szCs w:val="21"/>
                <w:u w:val="single"/>
                <w:lang w:val="en-US" w:eastAsia="zh-CN"/>
              </w:rPr>
              <w:t>2021年12月25 日</w:t>
            </w:r>
            <w:r>
              <w:rPr>
                <w:rFonts w:hint="eastAsia"/>
                <w:color w:val="000000" w:themeColor="text1"/>
              </w:rPr>
              <w:t>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color w:val="auto"/>
                <w:lang w:eastAsia="ja-JP"/>
              </w:rPr>
            </w:pPr>
            <w:r>
              <w:rPr>
                <w:rFonts w:hint="eastAsia"/>
                <w:color w:val="auto"/>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color w:val="auto"/>
                <w:lang w:val="en-US" w:eastAsia="zh-CN"/>
              </w:rPr>
            </w:pPr>
            <w:r>
              <w:rPr>
                <w:rFonts w:hint="eastAsia"/>
                <w:color w:val="auto"/>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color w:val="FF0000"/>
                <w:lang w:val="en-US" w:eastAsia="zh-CN"/>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3"/>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5055"/>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81" w:type="dxa"/>
                  <w:vAlign w:val="center"/>
                </w:tcPr>
                <w:p>
                  <w:pPr>
                    <w:jc w:val="center"/>
                  </w:pPr>
                  <w:r>
                    <w:rPr>
                      <w:rFonts w:hint="eastAsia"/>
                    </w:rPr>
                    <w:t>重要的相关方</w:t>
                  </w:r>
                </w:p>
              </w:tc>
              <w:tc>
                <w:tcPr>
                  <w:tcW w:w="5055" w:type="dxa"/>
                  <w:vAlign w:val="center"/>
                </w:tcPr>
                <w:p>
                  <w:pPr>
                    <w:jc w:val="center"/>
                  </w:pPr>
                  <w:r>
                    <w:rPr>
                      <w:rFonts w:hint="eastAsia"/>
                    </w:rPr>
                    <w:t>重要的相关方需求和希望（不必全选）</w:t>
                  </w:r>
                </w:p>
              </w:tc>
              <w:tc>
                <w:tcPr>
                  <w:tcW w:w="2344" w:type="dxa"/>
                </w:tcPr>
                <w:p>
                  <w:r>
                    <w:rPr>
                      <w:rFonts w:hint="eastAsia"/>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rPr>
                      <w:szCs w:val="22"/>
                    </w:rPr>
                  </w:pPr>
                  <w:r>
                    <w:rPr>
                      <w:rFonts w:hint="eastAsia"/>
                      <w:szCs w:val="22"/>
                    </w:rPr>
                    <w:t>☑主管部门</w:t>
                  </w:r>
                </w:p>
              </w:tc>
              <w:tc>
                <w:tcPr>
                  <w:tcW w:w="5055" w:type="dxa"/>
                </w:tcPr>
                <w:p>
                  <w:r>
                    <w:rPr>
                      <w:rFonts w:hint="eastAsia"/>
                    </w:rPr>
                    <w:t>☑遵守职业健康安全相关的法律法规</w:t>
                  </w:r>
                </w:p>
                <w:p>
                  <w:r>
                    <w:rPr>
                      <w:rFonts w:hint="eastAsia"/>
                    </w:rPr>
                    <w:t>□</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☑供方</w:t>
                  </w:r>
                </w:p>
              </w:tc>
              <w:tc>
                <w:tcPr>
                  <w:tcW w:w="5055" w:type="dxa"/>
                </w:tcPr>
                <w:p>
                  <w:r>
                    <w:rPr>
                      <w:rFonts w:hint="eastAsia"/>
                    </w:rPr>
                    <w:t>☑组织的持续经营</w:t>
                  </w:r>
                </w:p>
                <w:p>
                  <w:r>
                    <w:rPr>
                      <w:rFonts w:hint="eastAsia"/>
                    </w:rPr>
                    <w:t>☑明示采购的职业健康安全要求</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☑顾客</w:t>
                  </w:r>
                </w:p>
              </w:tc>
              <w:tc>
                <w:tcPr>
                  <w:tcW w:w="5055" w:type="dxa"/>
                </w:tcPr>
                <w:p>
                  <w:pPr>
                    <w:ind w:left="210" w:hanging="210" w:hangingChars="100"/>
                  </w:pPr>
                  <w:r>
                    <w:rPr>
                      <w:rFonts w:hint="eastAsia"/>
                    </w:rPr>
                    <w:t>☑不因职业健康安全问题影响双方合约的履行，按时按质按量交付产品或服务；</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81" w:type="dxa"/>
                  <w:vAlign w:val="center"/>
                </w:tcPr>
                <w:p>
                  <w:pPr>
                    <w:rPr>
                      <w:color w:val="auto"/>
                      <w:szCs w:val="24"/>
                    </w:rPr>
                  </w:pPr>
                  <w:r>
                    <w:rPr>
                      <w:rFonts w:hint="eastAsia"/>
                      <w:color w:val="auto"/>
                    </w:rPr>
                    <w:t>☑员工</w:t>
                  </w:r>
                </w:p>
              </w:tc>
              <w:tc>
                <w:tcPr>
                  <w:tcW w:w="5055" w:type="dxa"/>
                </w:tcPr>
                <w:p>
                  <w:pPr>
                    <w:rPr>
                      <w:color w:val="auto"/>
                    </w:rPr>
                  </w:pPr>
                  <w:r>
                    <w:rPr>
                      <w:rFonts w:hint="eastAsia"/>
                      <w:color w:val="auto"/>
                    </w:rPr>
                    <w:t>☑不发生工伤和/或职业病；</w:t>
                  </w:r>
                </w:p>
                <w:p>
                  <w:pPr>
                    <w:rPr>
                      <w:rFonts w:hint="eastAsia"/>
                      <w:color w:val="auto"/>
                    </w:rPr>
                  </w:pPr>
                  <w:r>
                    <w:rPr>
                      <w:rFonts w:hint="eastAsia"/>
                      <w:color w:val="auto"/>
                    </w:rPr>
                    <w:t>☑组织持续经营</w:t>
                  </w:r>
                </w:p>
                <w:p>
                  <w:pPr>
                    <w:pStyle w:val="2"/>
                    <w:rPr>
                      <w:rFonts w:hint="eastAsia" w:eastAsia="宋体"/>
                      <w:color w:val="auto"/>
                      <w:lang w:eastAsia="zh-CN"/>
                    </w:rPr>
                  </w:pPr>
                  <w:r>
                    <w:rPr>
                      <w:rFonts w:hint="eastAsia"/>
                      <w:color w:val="auto"/>
                    </w:rPr>
                    <w:t>☑</w:t>
                  </w:r>
                  <w:r>
                    <w:rPr>
                      <w:rFonts w:hint="eastAsia"/>
                      <w:color w:val="auto"/>
                      <w:lang w:eastAsia="zh-CN"/>
                    </w:rPr>
                    <w:t>清洁生产</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both"/>
                    <w:rPr>
                      <w:color w:val="auto"/>
                    </w:rPr>
                  </w:pPr>
                  <w:r>
                    <w:rPr>
                      <w:rFonts w:hint="eastAsia"/>
                      <w:color w:val="auto"/>
                      <w:lang w:eastAsia="zh-CN"/>
                    </w:rPr>
                    <w:t>☑</w:t>
                  </w:r>
                  <w:r>
                    <w:rPr>
                      <w:rFonts w:hint="eastAsia"/>
                      <w:color w:val="auto"/>
                    </w:rPr>
                    <w:t>审核机构</w:t>
                  </w:r>
                </w:p>
              </w:tc>
              <w:tc>
                <w:tcPr>
                  <w:tcW w:w="5055" w:type="dxa"/>
                </w:tcPr>
                <w:p>
                  <w:pPr>
                    <w:rPr>
                      <w:rFonts w:hint="eastAsia"/>
                      <w:color w:val="auto"/>
                      <w:lang w:eastAsia="zh-CN"/>
                    </w:rPr>
                  </w:pPr>
                  <w:r>
                    <w:rPr>
                      <w:rFonts w:hint="eastAsia"/>
                      <w:color w:val="auto"/>
                      <w:lang w:eastAsia="zh-CN"/>
                    </w:rPr>
                    <w:t>☑管理体系的有效性、适宜性</w:t>
                  </w:r>
                </w:p>
                <w:p>
                  <w:pPr>
                    <w:pStyle w:val="2"/>
                    <w:rPr>
                      <w:rFonts w:hint="eastAsia"/>
                      <w:color w:val="auto"/>
                      <w:lang w:eastAsia="zh-CN"/>
                    </w:rPr>
                  </w:pPr>
                  <w:r>
                    <w:rPr>
                      <w:rFonts w:hint="eastAsia"/>
                      <w:color w:val="auto"/>
                      <w:lang w:eastAsia="zh-CN"/>
                    </w:rPr>
                    <w:t>☑持续改进</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□承包方</w:t>
                  </w:r>
                </w:p>
              </w:tc>
              <w:tc>
                <w:tcPr>
                  <w:tcW w:w="5055" w:type="dxa"/>
                </w:tcPr>
                <w:p>
                  <w:pPr>
                    <w:rPr>
                      <w:color w:val="auto"/>
                    </w:rPr>
                  </w:pPr>
                  <w:r>
                    <w:rPr>
                      <w:rFonts w:hint="eastAsia"/>
                      <w:color w:val="auto"/>
                    </w:rPr>
                    <w:t>□</w:t>
                  </w:r>
                </w:p>
              </w:tc>
              <w:tc>
                <w:tcPr>
                  <w:tcW w:w="2344" w:type="dxa"/>
                  <w:vAlign w:val="center"/>
                </w:tcPr>
                <w:p>
                  <w:pPr>
                    <w:jc w:val="both"/>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□其他</w:t>
                  </w:r>
                </w:p>
              </w:tc>
              <w:tc>
                <w:tcPr>
                  <w:tcW w:w="5055" w:type="dxa"/>
                </w:tcPr>
                <w:p>
                  <w:pPr>
                    <w:rPr>
                      <w:color w:val="auto"/>
                    </w:rPr>
                  </w:pPr>
                </w:p>
              </w:tc>
              <w:tc>
                <w:tcPr>
                  <w:tcW w:w="2344" w:type="dxa"/>
                </w:tcPr>
                <w:p>
                  <w:pPr>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t>□</w:t>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sym w:font="Wingdings 2" w:char="00A3"/>
            </w:r>
            <w:r>
              <w:rPr>
                <w:rFonts w:hint="eastAsia"/>
                <w:highlight w:val="none"/>
                <w:shd w:val="clear"/>
                <w:vertAlign w:val="baseline"/>
                <w:lang w:val="en-US" w:eastAsia="zh-CN"/>
              </w:rPr>
              <w:t xml:space="preserve">危化品管理 </w:t>
            </w:r>
            <w:r>
              <w:rPr>
                <w:rFonts w:hint="eastAsia"/>
                <w:highlight w:val="none"/>
                <w:shd w:val="clear"/>
                <w:lang w:eastAsia="zh-CN"/>
              </w:rPr>
              <w:sym w:font="Wingdings 2" w:char="00A3"/>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t>□</w:t>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sym w:font="Wingdings 2" w:char="00A3"/>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textAlignment w:val="auto"/>
              <w:rPr>
                <w:rFonts w:hint="eastAsia" w:ascii="宋体" w:hAnsi="宋体" w:eastAsia="宋体" w:cs="宋体"/>
                <w:bCs/>
                <w:color w:val="auto"/>
                <w:spacing w:val="18"/>
                <w:sz w:val="24"/>
                <w:szCs w:val="24"/>
                <w:u w:val="single"/>
              </w:rPr>
            </w:pPr>
            <w:r>
              <w:rPr>
                <w:rFonts w:hint="eastAsia" w:ascii="宋体" w:hAnsi="宋体" w:cs="宋体"/>
                <w:bCs/>
                <w:color w:val="auto"/>
                <w:kern w:val="2"/>
                <w:sz w:val="24"/>
                <w:szCs w:val="24"/>
                <w:u w:val="single"/>
                <w:lang w:val="en-US" w:eastAsia="zh-CN" w:bidi="ar-SA"/>
              </w:rPr>
              <w:t xml:space="preserve">服务至上，诚信第一；规范管理，遵纪守法；预防污染，保护环境；保障安全，持续改进。 </w:t>
            </w:r>
            <w:r>
              <w:rPr>
                <w:rFonts w:hint="eastAsia" w:ascii="宋体" w:hAnsi="宋体" w:eastAsia="宋体" w:cs="宋体"/>
                <w:bCs/>
                <w:color w:val="auto"/>
                <w:kern w:val="2"/>
                <w:sz w:val="24"/>
                <w:szCs w:val="24"/>
                <w:u w:val="single"/>
                <w:lang w:val="en-US" w:eastAsia="zh-CN" w:bidi="ar-SA"/>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职业健康的主管部门是——综合部</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田泽良 </w:t>
            </w:r>
            <w:r>
              <w:rPr>
                <w:rFonts w:hint="eastAsia"/>
                <w:vertAlign w:val="baseli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drawing>
                <wp:inline distT="0" distB="0" distL="114300" distR="114300">
                  <wp:extent cx="5211445" cy="1585595"/>
                  <wp:effectExtent l="0" t="0" r="8255" b="190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7"/>
                          <a:stretch>
                            <a:fillRect/>
                          </a:stretch>
                        </pic:blipFill>
                        <pic:spPr>
                          <a:xfrm>
                            <a:off x="0" y="0"/>
                            <a:ext cx="5211445" cy="1585595"/>
                          </a:xfrm>
                          <a:prstGeom prst="rect">
                            <a:avLst/>
                          </a:prstGeom>
                          <a:noFill/>
                          <a:ln>
                            <a:noFill/>
                          </a:ln>
                        </pic:spPr>
                      </pic:pic>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sym w:font="Wingdings 2" w:char="00A3"/>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sym w:font="Wingdings 2" w:char="00A3"/>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sym w:font="Wingdings 2" w:char="0052"/>
            </w:r>
            <w:r>
              <w:rPr>
                <w:rFonts w:hint="eastAsia"/>
                <w:highlight w:val="none"/>
                <w:vertAlign w:val="baseline"/>
                <w:lang w:val="en-US" w:eastAsia="zh-CN"/>
              </w:rPr>
              <w:t xml:space="preserve">高低温  </w:t>
            </w:r>
            <w:r>
              <w:rPr>
                <w:rFonts w:hint="eastAsia"/>
                <w:highlight w:val="none"/>
                <w:lang w:eastAsia="zh-CN"/>
              </w:rPr>
              <w:sym w:font="Wingdings 2" w:char="00A3"/>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sym w:font="Wingdings 2" w:char="0052"/>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sym w:font="Wingdings 2" w:char="00A3"/>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12"/>
              <w:tblpPr w:leftFromText="180" w:rightFromText="180" w:vertAnchor="text" w:horzAnchor="page" w:tblpX="93" w:tblpY="295"/>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983"/>
              <w:gridCol w:w="2199"/>
              <w:gridCol w:w="1121"/>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shd w:val="clear" w:color="auto" w:fill="auto"/>
                  <w:vAlign w:val="top"/>
                </w:tcPr>
                <w:p>
                  <w:pPr>
                    <w:tabs>
                      <w:tab w:val="left" w:pos="855"/>
                    </w:tabs>
                    <w:snapToGrid w:val="0"/>
                    <w:jc w:val="center"/>
                    <w:rPr>
                      <w:rFonts w:hint="default" w:ascii="宋体" w:hAnsi="宋体"/>
                      <w:kern w:val="2"/>
                      <w:szCs w:val="24"/>
                      <w:lang w:val="en-US" w:eastAsia="zh-CN"/>
                    </w:rPr>
                  </w:pPr>
                  <w:r>
                    <w:rPr>
                      <w:rFonts w:hint="eastAsia" w:ascii="宋体" w:hAnsi="宋体" w:eastAsia="宋体" w:cs="宋体"/>
                      <w:sz w:val="21"/>
                      <w:szCs w:val="21"/>
                    </w:rPr>
                    <w:t>目标项目</w:t>
                  </w:r>
                </w:p>
              </w:tc>
              <w:tc>
                <w:tcPr>
                  <w:tcW w:w="983" w:type="dxa"/>
                  <w:shd w:val="clear" w:color="auto" w:fill="auto"/>
                  <w:vAlign w:val="top"/>
                </w:tcPr>
                <w:p>
                  <w:pPr>
                    <w:tabs>
                      <w:tab w:val="left" w:pos="855"/>
                    </w:tabs>
                    <w:snapToGrid w:val="0"/>
                    <w:jc w:val="center"/>
                    <w:rPr>
                      <w:rFonts w:hint="eastAsia" w:ascii="宋体" w:hAnsi="宋体"/>
                      <w:kern w:val="2"/>
                      <w:szCs w:val="24"/>
                      <w:lang w:val="en-US" w:eastAsia="zh-CN"/>
                    </w:rPr>
                  </w:pPr>
                  <w:r>
                    <w:rPr>
                      <w:rFonts w:hint="eastAsia" w:ascii="宋体" w:hAnsi="宋体" w:eastAsia="宋体" w:cs="宋体"/>
                      <w:sz w:val="21"/>
                      <w:szCs w:val="21"/>
                    </w:rPr>
                    <w:t>目标值</w:t>
                  </w:r>
                </w:p>
              </w:tc>
              <w:tc>
                <w:tcPr>
                  <w:tcW w:w="2199"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121"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2278"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目标实际完成（2021.06-2021.12）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火灾事故</w:t>
                  </w:r>
                </w:p>
              </w:tc>
              <w:tc>
                <w:tcPr>
                  <w:tcW w:w="98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p>
              </w:tc>
              <w:tc>
                <w:tcPr>
                  <w:tcW w:w="2199"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事件登记信息</w:t>
                  </w:r>
                </w:p>
              </w:tc>
              <w:tc>
                <w:tcPr>
                  <w:tcW w:w="112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78"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交通事故</w:t>
                  </w:r>
                </w:p>
              </w:tc>
              <w:tc>
                <w:tcPr>
                  <w:tcW w:w="98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p>
              </w:tc>
              <w:tc>
                <w:tcPr>
                  <w:tcW w:w="2199"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事件登记信息</w:t>
                  </w:r>
                </w:p>
              </w:tc>
              <w:tc>
                <w:tcPr>
                  <w:tcW w:w="112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78"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因工伤亡事故</w:t>
                  </w:r>
                </w:p>
              </w:tc>
              <w:tc>
                <w:tcPr>
                  <w:tcW w:w="983"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0</w:t>
                  </w:r>
                </w:p>
              </w:tc>
              <w:tc>
                <w:tcPr>
                  <w:tcW w:w="2199"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事件登记信息</w:t>
                  </w:r>
                </w:p>
              </w:tc>
              <w:tc>
                <w:tcPr>
                  <w:tcW w:w="1121"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综合部</w:t>
                  </w:r>
                </w:p>
              </w:tc>
              <w:tc>
                <w:tcPr>
                  <w:tcW w:w="2278" w:type="dxa"/>
                  <w:shd w:val="clear" w:color="auto" w:fill="auto"/>
                  <w:vAlign w:val="top"/>
                </w:tcPr>
                <w:p>
                  <w:pPr>
                    <w:tabs>
                      <w:tab w:val="left" w:pos="855"/>
                    </w:tabs>
                    <w:snapToGrid w:val="0"/>
                    <w:jc w:val="center"/>
                    <w:rPr>
                      <w:rFonts w:hint="eastAsia" w:ascii="宋体" w:hAnsi="宋体" w:cs="Times New Roman"/>
                      <w:lang w:val="en-US" w:eastAsia="zh-CN"/>
                    </w:rPr>
                  </w:pPr>
                  <w:r>
                    <w:rPr>
                      <w:rFonts w:hint="eastAsia" w:ascii="宋体" w:hAnsi="宋体" w:eastAsia="宋体" w:cs="宋体"/>
                      <w:sz w:val="21"/>
                      <w:szCs w:val="21"/>
                      <w:lang w:val="en-US" w:eastAsia="zh-CN"/>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w:t>
            </w:r>
            <w:r>
              <w:rPr>
                <w:rFonts w:hint="eastAsia"/>
                <w:u w:val="single"/>
                <w:lang w:val="en-US" w:eastAsia="zh-CN"/>
              </w:rPr>
              <w:t>垃圾桶、四分类垃圾车、业务操作系统</w:t>
            </w:r>
            <w:r>
              <w:rPr>
                <w:rFonts w:hint="eastAsia"/>
                <w:u w:val="single"/>
                <w:vertAlign w:val="baseline"/>
                <w:lang w:val="en-US" w:eastAsia="zh-CN"/>
              </w:rPr>
              <w:t xml:space="preserve">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无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A8"/>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无</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drawing>
                <wp:inline distT="0" distB="0" distL="114300" distR="114300">
                  <wp:extent cx="5211445" cy="1585595"/>
                  <wp:effectExtent l="0" t="0" r="825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11445" cy="1585595"/>
                          </a:xfrm>
                          <a:prstGeom prst="rect">
                            <a:avLst/>
                          </a:prstGeom>
                          <a:noFill/>
                          <a:ln>
                            <a:noFill/>
                          </a:ln>
                        </pic:spPr>
                      </pic:pic>
                    </a:graphicData>
                  </a:graphic>
                </wp:inline>
              </w:drawing>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color w:val="auto"/>
                <w:highlight w:val="none"/>
                <w:vertAlign w:val="baseline"/>
                <w:lang w:val="en-US" w:eastAsia="zh-CN"/>
              </w:rPr>
            </w:pPr>
            <w:r>
              <w:rPr>
                <w:rFonts w:hint="eastAsia"/>
                <w:color w:val="auto"/>
                <w:highlight w:val="none"/>
                <w:vertAlign w:val="baseline"/>
                <w:lang w:val="en-US" w:eastAsia="zh-CN"/>
              </w:rPr>
              <w:t>组织对生产设备、安全装置、</w:t>
            </w:r>
            <w:r>
              <w:rPr>
                <w:rFonts w:hint="eastAsia"/>
                <w:color w:val="auto"/>
                <w:u w:val="none"/>
                <w:vertAlign w:val="baseline"/>
                <w:lang w:val="en-US" w:eastAsia="zh-CN"/>
              </w:rPr>
              <w:t>特种设备</w:t>
            </w:r>
            <w:r>
              <w:rPr>
                <w:rFonts w:hint="eastAsia"/>
                <w:color w:val="auto"/>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highlight w:val="none"/>
                <w:vertAlign w:val="baseline"/>
                <w:lang w:val="en-US" w:eastAsia="zh-CN"/>
              </w:rPr>
              <w:t>安全装置</w:t>
            </w:r>
            <w:r>
              <w:rPr>
                <w:rFonts w:hint="eastAsia"/>
                <w:color w:val="auto"/>
                <w:u w:val="none"/>
                <w:vertAlign w:val="baseline"/>
                <w:lang w:val="en-US" w:eastAsia="zh-CN"/>
              </w:rPr>
              <w:t>检查：</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进行了定期检查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定期检查的有：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u w:val="none"/>
                <w:vertAlign w:val="baseline"/>
                <w:lang w:val="en-US" w:eastAsia="zh-CN"/>
              </w:rPr>
              <w:t>特种设备管理：</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进行了定期检验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定期检验的有：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u w:val="none"/>
                <w:vertAlign w:val="baseline"/>
                <w:lang w:val="en-US" w:eastAsia="zh-CN"/>
              </w:rPr>
              <w:t>特种设备</w:t>
            </w:r>
            <w:r>
              <w:rPr>
                <w:rFonts w:hint="eastAsia"/>
                <w:color w:val="auto"/>
                <w:highlight w:val="none"/>
                <w:vertAlign w:val="baseline"/>
                <w:lang w:val="en-US" w:eastAsia="zh-CN"/>
              </w:rPr>
              <w:t>检测报告，如：</w:t>
            </w:r>
            <w:r>
              <w:rPr>
                <w:rFonts w:hint="eastAsia"/>
                <w:color w:val="auto"/>
                <w:u w:val="none"/>
                <w:vertAlign w:val="baselin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vertAlign w:val="baseline"/>
                <w:lang w:val="en-US" w:eastAsia="zh-CN"/>
              </w:rPr>
              <w:t>（</w:t>
            </w:r>
            <w:r>
              <w:rPr>
                <w:rFonts w:hint="eastAsia"/>
                <w:color w:val="auto"/>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A8"/>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r>
              <w:rPr>
                <w:rFonts w:hint="eastAsia"/>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szCs w:val="22"/>
                <w:highlight w:val="none"/>
                <w:u w:val="single"/>
                <w:lang w:val="en-US" w:eastAsia="zh-CN"/>
              </w:rPr>
              <w:t>2022年3月17日</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eastAsia"/>
                <w:highlight w:val="none"/>
                <w:u w:val="single"/>
                <w:vertAlign w:val="baseline"/>
                <w:lang w:val="en-US" w:eastAsia="zh-CN"/>
              </w:rPr>
              <w:t>2022年1月11号</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rPr>
            </w:pPr>
            <w:r>
              <w:rPr>
                <w:rFonts w:hint="eastAsia"/>
                <w:color w:val="auto"/>
                <w:vertAlign w:val="baseline"/>
              </w:rPr>
              <w:t>组织在适当阶段实施策划的安排，以验证</w:t>
            </w:r>
            <w:r>
              <w:rPr>
                <w:rFonts w:hint="eastAsia"/>
                <w:color w:val="auto"/>
                <w:vertAlign w:val="baseline"/>
                <w:lang w:val="en-US" w:eastAsia="zh-CN"/>
              </w:rPr>
              <w:t>环境法律法规</w:t>
            </w:r>
            <w:r>
              <w:rPr>
                <w:rFonts w:hint="eastAsia"/>
                <w:color w:val="auto"/>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vertAlign w:val="baseline"/>
                <w:lang w:val="en-US" w:eastAsia="zh-CN"/>
              </w:rPr>
              <w:t>实施的检测：</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企业自检</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第三方监测</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 xml:space="preserve">主管部门抽查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lang w:val="en-US" w:eastAsia="zh-CN"/>
              </w:rPr>
              <w:t>作业场所有害物质监测报告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u w:val="single"/>
                <w:lang w:val="en-US" w:eastAsia="zh-CN"/>
              </w:rPr>
              <w:t xml:space="preserve">    </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体检：</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入职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离职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在职（定期）</w:t>
            </w:r>
          </w:p>
          <w:p>
            <w:pPr>
              <w:rPr>
                <w:rFonts w:hint="eastAsia"/>
                <w:color w:val="FF0000"/>
                <w:szCs w:val="18"/>
                <w:highlight w:val="none"/>
                <w:lang w:eastAsia="zh-CN"/>
              </w:rPr>
            </w:pPr>
            <w:r>
              <w:rPr>
                <w:rFonts w:hint="eastAsia"/>
                <w:color w:val="FF0000"/>
                <w:szCs w:val="18"/>
                <w:highlight w:val="none"/>
                <w:lang w:val="en-US" w:eastAsia="zh-CN"/>
              </w:rPr>
              <w:t>第三方</w:t>
            </w:r>
            <w:r>
              <w:rPr>
                <w:rFonts w:hint="eastAsia"/>
                <w:color w:val="FF0000"/>
                <w:szCs w:val="18"/>
                <w:highlight w:val="none"/>
                <w:lang w:eastAsia="zh-CN"/>
              </w:rPr>
              <w:t>《</w:t>
            </w:r>
            <w:r>
              <w:rPr>
                <w:rFonts w:hint="eastAsia"/>
                <w:color w:val="FF0000"/>
                <w:szCs w:val="18"/>
                <w:highlight w:val="none"/>
                <w:lang w:val="en-US" w:eastAsia="zh-CN"/>
              </w:rPr>
              <w:t>健康</w:t>
            </w:r>
            <w:r>
              <w:rPr>
                <w:rFonts w:hint="eastAsia"/>
                <w:color w:val="FF0000"/>
                <w:highlight w:val="none"/>
                <w:vertAlign w:val="baseline"/>
                <w:lang w:val="en-US" w:eastAsia="zh-CN"/>
              </w:rPr>
              <w:t>体检</w:t>
            </w:r>
            <w:r>
              <w:rPr>
                <w:rFonts w:hint="eastAsia"/>
                <w:color w:val="FF0000"/>
                <w:szCs w:val="18"/>
                <w:highlight w:val="none"/>
              </w:rPr>
              <w:t>报告</w:t>
            </w:r>
            <w:r>
              <w:rPr>
                <w:rFonts w:hint="eastAsia"/>
                <w:color w:val="FF0000"/>
                <w:szCs w:val="18"/>
                <w:highlight w:val="none"/>
                <w:lang w:eastAsia="zh-CN"/>
              </w:rPr>
              <w:t>》</w:t>
            </w:r>
          </w:p>
          <w:p>
            <w:pPr>
              <w:numPr>
                <w:ilvl w:val="0"/>
                <w:numId w:val="9"/>
              </w:numPr>
              <w:spacing w:line="280" w:lineRule="exact"/>
              <w:rPr>
                <w:rFonts w:hint="eastAsia"/>
                <w:color w:val="FF0000"/>
                <w:lang w:val="en-US" w:eastAsia="zh-CN"/>
              </w:rPr>
            </w:pPr>
            <w:r>
              <w:rPr>
                <w:rFonts w:hint="eastAsia"/>
                <w:color w:val="FF0000"/>
                <w:lang w:val="en-US" w:eastAsia="zh-CN"/>
              </w:rPr>
              <w:t>陈文娟，体检日期：2021-3-4，体检单位：萧山区靖江街道社区卫生服务中心，体检结果：无明显异常；</w:t>
            </w:r>
          </w:p>
          <w:p>
            <w:pPr>
              <w:numPr>
                <w:ilvl w:val="0"/>
                <w:numId w:val="9"/>
              </w:numPr>
              <w:spacing w:line="280" w:lineRule="exact"/>
              <w:rPr>
                <w:rFonts w:hint="eastAsia"/>
                <w:color w:val="FF0000"/>
                <w:lang w:val="en-US" w:eastAsia="zh-CN"/>
              </w:rPr>
            </w:pPr>
            <w:r>
              <w:rPr>
                <w:rFonts w:hint="eastAsia"/>
                <w:color w:val="FF0000"/>
                <w:lang w:val="en-US" w:eastAsia="zh-CN"/>
              </w:rPr>
              <w:t>占金花，体检日期：2021-3-14，体检单位：萧山区靖江街道社区卫生服务中心，体检结果：无明显异常；</w:t>
            </w:r>
          </w:p>
          <w:p>
            <w:pPr>
              <w:keepNext w:val="0"/>
              <w:keepLines w:val="0"/>
              <w:suppressLineNumbers w:val="0"/>
              <w:spacing w:before="0" w:beforeAutospacing="0" w:after="0" w:afterAutospacing="0"/>
              <w:ind w:left="0" w:right="0"/>
              <w:rPr>
                <w:rFonts w:hint="eastAsia"/>
                <w:color w:val="auto"/>
                <w:highlight w:val="none"/>
                <w:vertAlign w:val="baseline"/>
                <w:lang w:val="en-US" w:eastAsia="zh-CN"/>
              </w:rPr>
            </w:pPr>
          </w:p>
          <w:p>
            <w:pPr>
              <w:keepNext w:val="0"/>
              <w:keepLines w:val="0"/>
              <w:suppressLineNumbers w:val="0"/>
              <w:spacing w:before="0" w:beforeAutospacing="0" w:after="0" w:afterAutospacing="0"/>
              <w:ind w:left="0" w:right="0"/>
              <w:rPr>
                <w:rFonts w:hint="default"/>
                <w:color w:val="auto"/>
                <w:vertAlign w:val="baseline"/>
                <w:lang w:val="en-US" w:eastAsia="zh-CN"/>
              </w:rPr>
            </w:pPr>
            <w:r>
              <w:rPr>
                <w:rFonts w:hint="eastAsia"/>
                <w:color w:val="auto"/>
                <w:highlight w:val="none"/>
                <w:vertAlign w:val="baseline"/>
                <w:lang w:val="en-US" w:eastAsia="zh-CN"/>
              </w:rPr>
              <w:t>《建筑消防检测</w:t>
            </w:r>
            <w:r>
              <w:rPr>
                <w:rFonts w:hint="eastAsia"/>
                <w:color w:val="auto"/>
                <w:lang w:val="en-US" w:eastAsia="zh-CN"/>
              </w:rPr>
              <w:t>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szCs w:val="18"/>
                <w:highlight w:val="none"/>
                <w:lang w:val="en-US" w:eastAsia="zh-CN"/>
              </w:rPr>
              <w:t>防雷防静电检测报告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w:t>
            </w:r>
            <w:r>
              <w:rPr>
                <w:rFonts w:hint="eastAsia"/>
                <w:color w:val="auto"/>
                <w:vertAlign w:val="baseline"/>
                <w:lang w:val="en-US" w:eastAsia="zh-CN"/>
              </w:rPr>
              <w:t>。</w:t>
            </w:r>
          </w:p>
          <w:p>
            <w:pPr>
              <w:keepNext w:val="0"/>
              <w:keepLines w:val="0"/>
              <w:suppressLineNumbers w:val="0"/>
              <w:spacing w:before="0" w:beforeAutospacing="0" w:after="0" w:afterAutospacing="0"/>
              <w:ind w:left="0" w:right="0"/>
              <w:rPr>
                <w:rFonts w:hint="default"/>
                <w:color w:val="auto"/>
                <w:szCs w:val="18"/>
                <w:highlight w:val="none"/>
                <w:u w:val="single"/>
                <w:lang w:val="en-US" w:eastAsia="zh-CN"/>
              </w:rPr>
            </w:pPr>
            <w:r>
              <w:rPr>
                <w:rFonts w:hint="eastAsia"/>
                <w:color w:val="auto"/>
                <w:szCs w:val="18"/>
                <w:highlight w:val="none"/>
                <w:lang w:eastAsia="zh-CN"/>
              </w:rPr>
              <w:t>《</w:t>
            </w:r>
            <w:r>
              <w:rPr>
                <w:rFonts w:hint="eastAsia"/>
                <w:color w:val="auto"/>
                <w:szCs w:val="18"/>
                <w:highlight w:val="none"/>
                <w:lang w:val="en-US" w:eastAsia="zh-CN"/>
              </w:rPr>
              <w:t>电气防火检测</w:t>
            </w:r>
            <w:r>
              <w:rPr>
                <w:rFonts w:hint="eastAsia"/>
                <w:color w:val="auto"/>
                <w:szCs w:val="18"/>
                <w:highlight w:val="none"/>
              </w:rPr>
              <w:t>报告</w:t>
            </w:r>
            <w:r>
              <w:rPr>
                <w:rFonts w:hint="eastAsia"/>
                <w:color w:val="auto"/>
                <w:szCs w:val="18"/>
                <w:highlight w:val="none"/>
                <w:lang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达标评价：</w:t>
            </w:r>
            <w:r>
              <w:rPr>
                <w:rFonts w:hint="eastAsia"/>
                <w:color w:val="auto"/>
                <w:highlight w:val="none"/>
                <w:vertAlign w:val="baseline"/>
                <w:lang w:val="en-US" w:eastAsia="zh-CN"/>
              </w:rPr>
              <w:sym w:font="Wingdings" w:char="00FE"/>
            </w:r>
            <w:r>
              <w:rPr>
                <w:rFonts w:hint="eastAsia"/>
                <w:color w:val="auto"/>
                <w:vertAlign w:val="baseline"/>
                <w:lang w:val="en-US" w:eastAsia="zh-CN"/>
              </w:rPr>
              <w:t>符合要求</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color w:val="000000"/>
                <w:szCs w:val="21"/>
                <w:u w:val="single"/>
                <w:lang w:eastAsia="zh-CN"/>
              </w:rPr>
              <w:t>2021年</w:t>
            </w:r>
            <w:r>
              <w:rPr>
                <w:rFonts w:hint="eastAsia"/>
                <w:color w:val="000000"/>
                <w:szCs w:val="21"/>
                <w:u w:val="single"/>
                <w:lang w:val="en-US" w:eastAsia="zh-CN"/>
              </w:rPr>
              <w:t>12</w:t>
            </w:r>
            <w:r>
              <w:rPr>
                <w:rFonts w:hint="eastAsia"/>
                <w:color w:val="000000"/>
                <w:szCs w:val="21"/>
                <w:u w:val="single"/>
                <w:lang w:eastAsia="zh-CN"/>
              </w:rPr>
              <w:t>月</w:t>
            </w:r>
            <w:r>
              <w:rPr>
                <w:rFonts w:hint="eastAsia"/>
                <w:color w:val="000000"/>
                <w:szCs w:val="21"/>
                <w:u w:val="single"/>
                <w:lang w:val="en-US" w:eastAsia="zh-CN"/>
              </w:rPr>
              <w:t>17-18</w:t>
            </w:r>
            <w:r>
              <w:rPr>
                <w:rFonts w:hint="eastAsia"/>
                <w:color w:val="000000"/>
                <w:szCs w:val="21"/>
                <w:u w:val="single"/>
                <w:lang w:eastAsia="zh-CN"/>
              </w:rPr>
              <w:t>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w:t>
            </w:r>
            <w:r>
              <w:rPr>
                <w:rFonts w:hint="eastAsia"/>
                <w:color w:val="000000"/>
                <w:szCs w:val="18"/>
                <w:u w:val="single"/>
              </w:rPr>
              <w:t>2021年</w:t>
            </w:r>
            <w:r>
              <w:rPr>
                <w:rFonts w:hint="eastAsia"/>
                <w:color w:val="000000"/>
                <w:szCs w:val="18"/>
                <w:u w:val="single"/>
                <w:lang w:val="en-US" w:eastAsia="zh-CN"/>
              </w:rPr>
              <w:t>12</w:t>
            </w:r>
            <w:r>
              <w:rPr>
                <w:rFonts w:hint="eastAsia"/>
                <w:color w:val="000000"/>
                <w:szCs w:val="18"/>
                <w:u w:val="single"/>
              </w:rPr>
              <w:t>月</w:t>
            </w:r>
            <w:r>
              <w:rPr>
                <w:rFonts w:hint="eastAsia"/>
                <w:color w:val="000000"/>
                <w:szCs w:val="18"/>
                <w:u w:val="single"/>
                <w:lang w:val="en-US" w:eastAsia="zh-CN"/>
              </w:rPr>
              <w:t>25</w:t>
            </w:r>
            <w:r>
              <w:rPr>
                <w:rFonts w:hint="eastAsia"/>
                <w:color w:val="000000"/>
                <w:szCs w:val="18"/>
                <w:u w:val="single"/>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12"/>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color w:val="auto"/>
                <w:lang w:eastAsia="ja-JP"/>
              </w:rPr>
            </w:pPr>
            <w:r>
              <w:rPr>
                <w:rFonts w:hint="eastAsia"/>
                <w:color w:val="auto"/>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bookmark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bookmarkStart w:id="29" w:name="_GoBack" w:colFirst="2" w:colLast="2"/>
            <w:bookmarkEnd w:id="29"/>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eastAsia="宋体"/>
                <w:color w:val="FF0000"/>
                <w:lang w:val="en-US" w:eastAsia="zh-CN"/>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line="240" w:lineRule="auto"/>
        <w:rPr>
          <w:rFonts w:eastAsia="微软雅黑"/>
          <w:lang w:eastAsia="zh-CN"/>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8" o:spid="_x0000_s4098"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8"/>
      <w:pBdr>
        <w:bottom w:val="single" w:color="auto" w:sz="4" w:space="1"/>
      </w:pBdr>
      <w:spacing w:line="320" w:lineRule="exact"/>
      <w:ind w:firstLine="756" w:firstLineChars="400"/>
      <w:jc w:val="left"/>
      <w:rPr>
        <w:rStyle w:val="21"/>
        <w:rFonts w:hint="default"/>
      </w:rPr>
    </w:pPr>
    <w:r>
      <w:rPr>
        <w:rStyle w:val="21"/>
        <w:rFonts w:hint="default"/>
        <w:w w:val="90"/>
      </w:rPr>
      <w:t>Beijing International Standard united Certification Co.,Ltd.</w:t>
    </w:r>
    <w:r>
      <w:rPr>
        <w:rStyle w:val="21"/>
        <w:rFonts w:hint="default"/>
      </w:rPr>
      <w:tab/>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136EF71E"/>
    <w:multiLevelType w:val="singleLevel"/>
    <w:tmpl w:val="136EF71E"/>
    <w:lvl w:ilvl="0" w:tentative="0">
      <w:start w:val="13"/>
      <w:numFmt w:val="decimal"/>
      <w:suff w:val="nothing"/>
      <w:lvlText w:val="%1）"/>
      <w:lvlJc w:val="left"/>
    </w:lvl>
  </w:abstractNum>
  <w:abstractNum w:abstractNumId="2">
    <w:nsid w:val="1CAF0B4A"/>
    <w:multiLevelType w:val="multilevel"/>
    <w:tmpl w:val="1CAF0B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FB0934"/>
    <w:multiLevelType w:val="multilevel"/>
    <w:tmpl w:val="2EFB093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3255097"/>
    <w:multiLevelType w:val="multilevel"/>
    <w:tmpl w:val="3325509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2E67B3"/>
    <w:multiLevelType w:val="multilevel"/>
    <w:tmpl w:val="4F2E67B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1770BEC"/>
    <w:multiLevelType w:val="multilevel"/>
    <w:tmpl w:val="51770B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A0F734F"/>
    <w:multiLevelType w:val="multilevel"/>
    <w:tmpl w:val="7A0F73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B2754CF"/>
    <w:multiLevelType w:val="multilevel"/>
    <w:tmpl w:val="7B2754C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7"/>
  </w:num>
  <w:num w:numId="3">
    <w:abstractNumId w:val="4"/>
  </w:num>
  <w:num w:numId="4">
    <w:abstractNumId w:val="8"/>
  </w:num>
  <w:num w:numId="5">
    <w:abstractNumId w:val="2"/>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AB837EC"/>
    <w:rsid w:val="1AC11091"/>
    <w:rsid w:val="1BCD6D87"/>
    <w:rsid w:val="462D7609"/>
    <w:rsid w:val="614609DA"/>
    <w:rsid w:val="672676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eastAsia="PMingLiU"/>
      <w:b/>
      <w:bCs/>
      <w:sz w:val="24"/>
      <w:lang w:eastAsia="zh-TW"/>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next w:val="1"/>
    <w:qFormat/>
    <w:uiPriority w:val="0"/>
    <w:rPr>
      <w:sz w:val="28"/>
      <w:szCs w:val="20"/>
    </w:rPr>
  </w:style>
  <w:style w:type="paragraph" w:styleId="5">
    <w:name w:val="Body Text Indent"/>
    <w:basedOn w:val="1"/>
    <w:qFormat/>
    <w:uiPriority w:val="0"/>
    <w:pPr>
      <w:ind w:left="420" w:firstLine="744"/>
    </w:pPr>
    <w:rPr>
      <w:rFonts w:ascii="宋体" w:hAnsi="宋体"/>
      <w:szCs w:val="24"/>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unhideWhenUsed/>
    <w:qFormat/>
    <w:uiPriority w:val="99"/>
    <w:pPr>
      <w:tabs>
        <w:tab w:val="left" w:pos="540"/>
      </w:tabs>
      <w:ind w:firstLine="420" w:firstLineChars="2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8"/>
    <w:qFormat/>
    <w:uiPriority w:val="99"/>
    <w:rPr>
      <w:rFonts w:ascii="Times New Roman" w:hAnsi="Times New Roman" w:eastAsia="宋体" w:cs="Times New Roman"/>
      <w:sz w:val="18"/>
      <w:szCs w:val="18"/>
    </w:rPr>
  </w:style>
  <w:style w:type="character" w:customStyle="1" w:styleId="18">
    <w:name w:val="页脚 Char"/>
    <w:basedOn w:val="14"/>
    <w:link w:val="7"/>
    <w:qFormat/>
    <w:uiPriority w:val="99"/>
    <w:rPr>
      <w:rFonts w:ascii="Times New Roman" w:hAnsi="Times New Roman" w:eastAsia="宋体" w:cs="Times New Roman"/>
      <w:sz w:val="18"/>
      <w:szCs w:val="18"/>
    </w:rPr>
  </w:style>
  <w:style w:type="character" w:customStyle="1" w:styleId="19">
    <w:name w:val="批注框文本 Char"/>
    <w:basedOn w:val="14"/>
    <w:link w:val="6"/>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20207</Words>
  <Characters>21379</Characters>
  <Lines>150</Lines>
  <Paragraphs>42</Paragraphs>
  <TotalTime>2</TotalTime>
  <ScaleCrop>false</ScaleCrop>
  <LinksUpToDate>false</LinksUpToDate>
  <CharactersWithSpaces>24285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2022-04-07T14:17:28Z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