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0062-2020-Q-2022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南京德科电力科技有限公司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南京德科电力科技有限公司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南京市玄武区玄武大道108号徐庄高新区二期聚慧园5号楼</w:t>
            </w:r>
            <w:bookmarkEnd w:id="6"/>
          </w:p>
        </w:tc>
        <w:tc>
          <w:tcPr>
            <w:tcW w:w="1242" w:type="dxa"/>
            <w:vMerge w:val="restart"/>
            <w:vAlign w:val="center"/>
          </w:tcPr>
          <w:p>
            <w:r>
              <w:rPr>
                <w:rFonts w:hint="eastAsia"/>
              </w:rPr>
              <w:t>邮编</w:t>
            </w:r>
          </w:p>
        </w:tc>
        <w:tc>
          <w:tcPr>
            <w:tcW w:w="1771" w:type="dxa"/>
          </w:tcPr>
          <w:p>
            <w:bookmarkStart w:id="7" w:name="注册邮编"/>
            <w:r>
              <w:t>210000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南京市玄武区玄武大道108号徐庄高新区二期聚慧园5号楼</w:t>
            </w:r>
            <w:bookmarkEnd w:id="8"/>
          </w:p>
        </w:tc>
        <w:tc>
          <w:tcPr>
            <w:tcW w:w="1242" w:type="dxa"/>
            <w:vMerge w:val="continue"/>
            <w:vAlign w:val="center"/>
          </w:tcPr>
          <w:p/>
        </w:tc>
        <w:tc>
          <w:tcPr>
            <w:tcW w:w="1771" w:type="dxa"/>
          </w:tcPr>
          <w:p>
            <w:bookmarkStart w:id="9" w:name="办公邮编"/>
            <w:r>
              <w:t>210000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李祥</w:t>
            </w:r>
            <w:bookmarkEnd w:id="10"/>
          </w:p>
        </w:tc>
        <w:tc>
          <w:tcPr>
            <w:tcW w:w="1313" w:type="dxa"/>
            <w:vAlign w:val="center"/>
          </w:tcPr>
          <w:p>
            <w:r>
              <w:rPr>
                <w:rFonts w:hint="eastAsia"/>
              </w:rPr>
              <w:t>电话.</w:t>
            </w:r>
          </w:p>
        </w:tc>
        <w:tc>
          <w:tcPr>
            <w:tcW w:w="2180" w:type="dxa"/>
            <w:vAlign w:val="center"/>
          </w:tcPr>
          <w:p>
            <w:bookmarkStart w:id="11" w:name="联系人电话"/>
            <w:r>
              <w:t>18652098225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胡进</w:t>
            </w:r>
            <w:bookmarkEnd w:id="13"/>
          </w:p>
        </w:tc>
        <w:tc>
          <w:tcPr>
            <w:tcW w:w="1313" w:type="dxa"/>
            <w:vAlign w:val="center"/>
          </w:tcPr>
          <w:p>
            <w:r>
              <w:rPr>
                <w:rFonts w:hint="eastAsia"/>
              </w:rPr>
              <w:t>管理者代表</w:t>
            </w:r>
          </w:p>
        </w:tc>
        <w:tc>
          <w:tcPr>
            <w:tcW w:w="2180" w:type="dxa"/>
          </w:tcPr>
          <w:p>
            <w:bookmarkStart w:id="14" w:name="管理者代表"/>
            <w:r>
              <w:t>侯健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设计开发流程：</w:t>
            </w:r>
          </w:p>
          <w:p>
            <w:pPr>
              <w:rPr>
                <w:rFonts w:hint="eastAsia" w:ascii="Times New Roman" w:hAnsi="Times New Roman" w:eastAsia="宋体" w:cs="Times New Roman"/>
                <w:lang w:eastAsia="zh-CN"/>
              </w:rPr>
            </w:pPr>
            <w:r>
              <w:rPr>
                <w:rFonts w:hint="eastAsia" w:ascii="Times New Roman" w:hAnsi="Times New Roman" w:cs="Times New Roman"/>
              </w:rPr>
              <w:t>编写技术方案→技术方案评审→设计开发计划→设计开发实施→设计评审→设计确认→客户确认</w:t>
            </w:r>
            <w:r>
              <w:rPr>
                <w:rFonts w:hint="eastAsia" w:ascii="Times New Roman" w:hAnsi="Times New Roman" w:cs="Times New Roman"/>
                <w:lang w:eastAsia="zh-CN"/>
              </w:rPr>
              <w:t>；</w:t>
            </w:r>
          </w:p>
          <w:p>
            <w:pPr>
              <w:rPr>
                <w:rFonts w:hint="eastAsia"/>
              </w:rPr>
            </w:pPr>
            <w:r>
              <w:rPr>
                <w:rFonts w:hint="eastAsia"/>
              </w:rPr>
              <w:t>销售服务流程：</w:t>
            </w:r>
          </w:p>
          <w:p>
            <w:r>
              <w:rPr>
                <w:rFonts w:hint="eastAsia"/>
              </w:rPr>
              <w:t>顾客沟通→合同评审→签订合同→实施采购→供方送货→顾客签收→交付及售后服务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2022年04月02日 上午至2022年04月02日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南京市玄武区玄武大道108号徐庄高新区二期聚慧园5号楼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环境及电力电子传感器监测设备、通讯及电力自动化仪器仪表设备、智能安防节能设备的一体化软硬件研发、销售及技术服务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19.05.01;19.14.00;33.02.01;34.06.00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2019年11月1日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2021年04月12日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64"/>
        <w:gridCol w:w="90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64" w:type="dxa"/>
            <w:shd w:val="clear" w:color="auto" w:fill="F3F3F3"/>
            <w:tcMar>
              <w:left w:w="57" w:type="dxa"/>
              <w:right w:w="57" w:type="dxa"/>
            </w:tcMar>
          </w:tcPr>
          <w:p>
            <w:r>
              <w:rPr>
                <w:rFonts w:hint="eastAsia"/>
              </w:rPr>
              <w:t>审核范围（产品和过程）</w:t>
            </w:r>
          </w:p>
          <w:p/>
          <w:p/>
        </w:tc>
        <w:tc>
          <w:tcPr>
            <w:tcW w:w="90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asciiTheme="minorEastAsia" w:hAnsiTheme="minorEastAsia" w:eastAsiaTheme="minorEastAsia"/>
                <w:sz w:val="20"/>
              </w:rPr>
            </w:pPr>
            <w:r>
              <w:rPr>
                <w:rFonts w:asciiTheme="minorEastAsia" w:hAnsiTheme="minorEastAsia" w:eastAsiaTheme="minorEastAsia"/>
                <w:sz w:val="20"/>
              </w:rPr>
              <w:t>南京德科电力科技有限公司</w:t>
            </w:r>
          </w:p>
          <w:p>
            <w:pPr>
              <w:rPr>
                <w:lang w:val="de-DE" w:eastAsia="ja-JP"/>
              </w:rPr>
            </w:pPr>
            <w:r>
              <w:rPr>
                <w:rFonts w:asciiTheme="minorEastAsia" w:hAnsiTheme="minorEastAsia" w:eastAsiaTheme="minorEastAsia"/>
                <w:sz w:val="20"/>
              </w:rPr>
              <w:t>南京市玄武区玄武大道108号徐庄高新区二期聚慧园5号楼</w:t>
            </w:r>
          </w:p>
        </w:tc>
        <w:tc>
          <w:tcPr>
            <w:tcW w:w="2267" w:type="dxa"/>
          </w:tcPr>
          <w:p>
            <w:pPr>
              <w:rPr>
                <w:lang w:val="de-DE" w:eastAsia="ja-JP"/>
              </w:rPr>
            </w:pPr>
            <w:r>
              <w:rPr>
                <w:rFonts w:asciiTheme="minorEastAsia" w:hAnsiTheme="minorEastAsia" w:eastAsiaTheme="minorEastAsia"/>
                <w:sz w:val="20"/>
              </w:rPr>
              <w:t>南京市玄武区玄武大道108号徐庄高新区二期聚慧园5号楼</w:t>
            </w:r>
          </w:p>
        </w:tc>
        <w:tc>
          <w:tcPr>
            <w:tcW w:w="571" w:type="dxa"/>
            <w:vAlign w:val="center"/>
          </w:tcPr>
          <w:p>
            <w:pPr>
              <w:rPr>
                <w:lang w:eastAsia="ja-JP"/>
              </w:rPr>
            </w:pPr>
            <w:r>
              <w:rPr>
                <w:rFonts w:hint="eastAsia"/>
                <w:lang w:eastAsia="ja-JP"/>
              </w:rPr>
              <w:t>10人</w:t>
            </w:r>
          </w:p>
        </w:tc>
        <w:tc>
          <w:tcPr>
            <w:tcW w:w="2564" w:type="dxa"/>
            <w:vAlign w:val="center"/>
          </w:tcPr>
          <w:p>
            <w:pPr>
              <w:rPr>
                <w:lang w:eastAsia="ja-JP"/>
              </w:rPr>
            </w:pPr>
            <w:r>
              <w:rPr>
                <w:sz w:val="20"/>
              </w:rPr>
              <w:t>环境及电力电子传感器监测设备、通讯及电力自动化仪器仪表设备、智能安防节能设备的一体化软硬件研发、销售及技术服务</w:t>
            </w:r>
          </w:p>
        </w:tc>
        <w:tc>
          <w:tcPr>
            <w:tcW w:w="908" w:type="dxa"/>
            <w:vAlign w:val="center"/>
          </w:tcPr>
          <w:p>
            <w:pPr>
              <w:rPr>
                <w:lang w:eastAsia="ja-JP"/>
              </w:rPr>
            </w:pPr>
            <w:r>
              <w:rPr>
                <w:rFonts w:hint="eastAsia"/>
                <w:lang w:eastAsia="ja-JP"/>
              </w:rPr>
              <w:t>GB/T 19001:2016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64" w:type="dxa"/>
            <w:vAlign w:val="center"/>
          </w:tcPr>
          <w:p>
            <w:pPr>
              <w:rPr>
                <w:lang w:eastAsia="ja-JP"/>
              </w:rPr>
            </w:pPr>
          </w:p>
        </w:tc>
        <w:tc>
          <w:tcPr>
            <w:tcW w:w="90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64" w:type="dxa"/>
            <w:vAlign w:val="center"/>
          </w:tcPr>
          <w:p>
            <w:pPr>
              <w:rPr>
                <w:lang w:eastAsia="ja-JP"/>
              </w:rPr>
            </w:pPr>
          </w:p>
        </w:tc>
        <w:tc>
          <w:tcPr>
            <w:tcW w:w="908"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tc>
        <w:tc>
          <w:tcPr>
            <w:tcW w:w="2179" w:type="dxa"/>
            <w:vAlign w:val="center"/>
          </w:tcPr>
          <w:p>
            <w:r>
              <w:t>19.05.01,19.14.00,33.02.01,34.06.00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上次监督审核出具的不符合已整改。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ind w:firstLine="420" w:firstLineChars="200"/>
              <w:rPr>
                <w:rFonts w:hint="eastAsia" w:eastAsia="宋体"/>
                <w:lang w:val="en-US" w:eastAsia="zh-CN"/>
              </w:rPr>
            </w:pPr>
            <w:r>
              <w:rPr>
                <w:rFonts w:hint="eastAsia"/>
                <w:lang w:val="en-US" w:eastAsia="zh-CN"/>
              </w:rPr>
              <w:t>0</w:t>
            </w:r>
          </w:p>
        </w:tc>
        <w:tc>
          <w:tcPr>
            <w:tcW w:w="1717" w:type="dxa"/>
          </w:tcPr>
          <w:p/>
        </w:tc>
        <w:tc>
          <w:tcPr>
            <w:tcW w:w="1560" w:type="dxa"/>
          </w:tcPr>
          <w:p>
            <w:pPr>
              <w:rPr>
                <w:rFonts w:hint="default" w:eastAsia="宋体"/>
                <w:lang w:val="en-US" w:eastAsia="zh-CN"/>
              </w:rPr>
            </w:pPr>
            <w:r>
              <w:rPr>
                <w:rFonts w:hint="eastAsia"/>
                <w:lang w:val="en-US" w:eastAsia="zh-CN"/>
              </w:rPr>
              <w:t xml:space="preserve">    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jc w:val="both"/>
            </w:pPr>
            <w:r>
              <w:rPr>
                <w:rFonts w:hint="eastAsia"/>
              </w:rPr>
              <w:t>审核组长签字</w:t>
            </w:r>
          </w:p>
        </w:tc>
        <w:tc>
          <w:tcPr>
            <w:tcW w:w="2764" w:type="dxa"/>
            <w:tcMar>
              <w:left w:w="113" w:type="dxa"/>
            </w:tcMar>
            <w:vAlign w:val="center"/>
          </w:tcPr>
          <w:p>
            <w:pPr>
              <w:jc w:val="both"/>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448310</wp:posOffset>
                  </wp:positionH>
                  <wp:positionV relativeFrom="paragraph">
                    <wp:posOffset>26670</wp:posOffset>
                  </wp:positionV>
                  <wp:extent cx="437515" cy="336550"/>
                  <wp:effectExtent l="0" t="0" r="6985" b="635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37515" cy="336550"/>
                          </a:xfrm>
                          <a:prstGeom prst="rect">
                            <a:avLst/>
                          </a:prstGeom>
                        </pic:spPr>
                      </pic:pic>
                    </a:graphicData>
                  </a:graphic>
                </wp:anchor>
              </w:drawing>
            </w:r>
          </w:p>
          <w:p>
            <w:pPr>
              <w:jc w:val="both"/>
            </w:pPr>
          </w:p>
        </w:tc>
        <w:tc>
          <w:tcPr>
            <w:tcW w:w="2764" w:type="dxa"/>
            <w:tcMar>
              <w:left w:w="113" w:type="dxa"/>
            </w:tcMar>
            <w:vAlign w:val="center"/>
          </w:tcPr>
          <w:p>
            <w:pPr>
              <w:jc w:val="both"/>
            </w:pPr>
            <w:r>
              <w:rPr>
                <w:rFonts w:hint="eastAsia"/>
              </w:rPr>
              <w:t>日期</w:t>
            </w:r>
          </w:p>
        </w:tc>
        <w:tc>
          <w:tcPr>
            <w:tcW w:w="2766" w:type="dxa"/>
            <w:tcMar>
              <w:left w:w="113" w:type="dxa"/>
            </w:tcMar>
            <w:vAlign w:val="center"/>
          </w:tcPr>
          <w:p>
            <w:pPr>
              <w:jc w:val="both"/>
              <w:rPr>
                <w:rFonts w:hint="default" w:ascii="宋体" w:eastAsia="宋体"/>
                <w:b/>
                <w:color w:val="0000FF"/>
                <w:szCs w:val="21"/>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lang w:val="en-US" w:eastAsia="zh-CN"/>
              </w:rPr>
              <w:t>022.4.2</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新产品设计开发□原材料订制</w:t>
            </w:r>
            <w:r>
              <w:rPr>
                <w:rFonts w:hint="eastAsia"/>
                <w:lang w:eastAsia="zh-CN"/>
              </w:rPr>
              <w:t>□</w:t>
            </w:r>
            <w:r>
              <w:rPr>
                <w:rFonts w:hint="eastAsia"/>
              </w:rPr>
              <w:t>生产/服务过程</w:t>
            </w:r>
            <w:r>
              <w:rPr>
                <w:rFonts w:hint="eastAsia"/>
                <w:lang w:eastAsia="zh-CN"/>
              </w:rPr>
              <w:t>☑</w:t>
            </w:r>
            <w:r>
              <w:rPr>
                <w:rFonts w:hint="eastAsia"/>
              </w:rPr>
              <w:t>检验检测□产品运输□设备维修</w:t>
            </w:r>
          </w:p>
          <w:p>
            <w:pPr>
              <w:shd w:val="clear" w:color="auto" w:fill="C7DAF1" w:themeFill="text2" w:themeFillTint="32"/>
              <w:spacing w:before="40" w:after="40"/>
            </w:pPr>
            <w:r>
              <w:rPr>
                <w:rFonts w:hint="eastAsia"/>
                <w:lang w:eastAsia="zh-CN"/>
              </w:rPr>
              <w:t>☑</w:t>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规范管理、周到服务、客户满意、持续改进。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pPr>
                  <w:r>
                    <w:rPr>
                      <w:rFonts w:hint="eastAsia"/>
                    </w:rPr>
                    <w:t>对市场需要产品的发展趋势判断失误。</w:t>
                  </w:r>
                </w:p>
              </w:tc>
              <w:tc>
                <w:tcPr>
                  <w:tcW w:w="3965" w:type="dxa"/>
                  <w:vAlign w:val="top"/>
                </w:tcPr>
                <w:p>
                  <w:pPr>
                    <w:shd w:val="clear" w:color="auto" w:fill="C7DAF1" w:themeFill="text2" w:themeFillTint="32"/>
                  </w:pPr>
                  <w:r>
                    <w:rPr>
                      <w:rFonts w:hint="eastAsia"/>
                    </w:rPr>
                    <w:t>对市场需求产品的发展趋势分析应该经过反复论证。</w:t>
                  </w:r>
                </w:p>
              </w:tc>
              <w:tc>
                <w:tcPr>
                  <w:tcW w:w="1717" w:type="dxa"/>
                  <w:vAlign w:val="center"/>
                </w:tcPr>
                <w:p>
                  <w:pPr>
                    <w:shd w:val="clear" w:color="auto" w:fill="C7DAF1" w:themeFill="text2" w:themeFillTint="32"/>
                    <w:jc w:val="cente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客户要求识别不完整。</w:t>
                  </w:r>
                </w:p>
              </w:tc>
              <w:tc>
                <w:tcPr>
                  <w:tcW w:w="3965" w:type="dxa"/>
                  <w:vAlign w:val="top"/>
                </w:tcPr>
                <w:p>
                  <w:pPr>
                    <w:shd w:val="clear" w:color="auto" w:fill="C7DAF1" w:themeFill="text2" w:themeFillTint="32"/>
                  </w:pPr>
                  <w:r>
                    <w:rPr>
                      <w:rFonts w:hint="eastAsia"/>
                    </w:rPr>
                    <w:t>对客户的要求实施监视和测量。</w:t>
                  </w:r>
                </w:p>
              </w:tc>
              <w:tc>
                <w:tcPr>
                  <w:tcW w:w="1717" w:type="dxa"/>
                  <w:vAlign w:val="center"/>
                </w:tcPr>
                <w:p>
                  <w:pPr>
                    <w:shd w:val="clear" w:color="auto" w:fill="C7DAF1" w:themeFill="text2" w:themeFillTint="32"/>
                    <w:jc w:val="cente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制作的产品未能迎合客户的需求。</w:t>
                  </w:r>
                </w:p>
              </w:tc>
              <w:tc>
                <w:tcPr>
                  <w:tcW w:w="3965" w:type="dxa"/>
                  <w:vAlign w:val="top"/>
                </w:tcPr>
                <w:p>
                  <w:pPr>
                    <w:shd w:val="clear" w:color="auto" w:fill="C7DAF1" w:themeFill="text2" w:themeFillTint="32"/>
                  </w:pPr>
                  <w:r>
                    <w:rPr>
                      <w:rFonts w:hint="eastAsia"/>
                    </w:rPr>
                    <w:t>研发产品时尽量选择可重复利用的研发模式研发产品。</w:t>
                  </w:r>
                </w:p>
              </w:tc>
              <w:tc>
                <w:tcPr>
                  <w:tcW w:w="1717" w:type="dxa"/>
                  <w:vAlign w:val="center"/>
                </w:tcPr>
                <w:p>
                  <w:pPr>
                    <w:shd w:val="clear" w:color="auto" w:fill="C7DAF1" w:themeFill="text2" w:themeFillTint="32"/>
                    <w:jc w:val="cente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产品研发周期长，跟不上市场变化。</w:t>
                  </w:r>
                </w:p>
              </w:tc>
              <w:tc>
                <w:tcPr>
                  <w:tcW w:w="3965" w:type="dxa"/>
                  <w:vAlign w:val="top"/>
                </w:tcPr>
                <w:p>
                  <w:pPr>
                    <w:shd w:val="clear" w:color="auto" w:fill="C7DAF1" w:themeFill="text2" w:themeFillTint="32"/>
                  </w:pPr>
                  <w:r>
                    <w:rPr>
                      <w:rFonts w:hint="eastAsia"/>
                    </w:rPr>
                    <w:t>加大设计开发的资源投入，尽可能缩短</w:t>
                  </w:r>
                </w:p>
              </w:tc>
              <w:tc>
                <w:tcPr>
                  <w:tcW w:w="1717" w:type="dxa"/>
                  <w:vAlign w:val="center"/>
                </w:tcPr>
                <w:p>
                  <w:pPr>
                    <w:shd w:val="clear" w:color="auto" w:fill="C7DAF1" w:themeFill="text2" w:themeFillTint="32"/>
                    <w:jc w:val="center"/>
                  </w:pPr>
                  <w: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5"/>
                    <w:pBdr>
                      <w:bottom w:val="none" w:color="auto" w:sz="0" w:space="0"/>
                    </w:pBdr>
                    <w:tabs>
                      <w:tab w:val="left" w:pos="420"/>
                    </w:tabs>
                    <w:spacing w:line="240" w:lineRule="exact"/>
                    <w:jc w:val="both"/>
                  </w:pPr>
                  <w:r>
                    <w:rPr>
                      <w:rFonts w:hint="eastAsia" w:ascii="宋体" w:hAnsi="宋体"/>
                      <w:sz w:val="21"/>
                      <w:szCs w:val="21"/>
                    </w:rPr>
                    <w:t>合同履约率</w:t>
                  </w:r>
                  <w:r>
                    <w:rPr>
                      <w:rFonts w:hint="eastAsia" w:ascii="宋体" w:hAnsi="宋体"/>
                      <w:sz w:val="21"/>
                      <w:szCs w:val="21"/>
                    </w:rPr>
                    <w:t>≥98%</w:t>
                  </w:r>
                </w:p>
              </w:tc>
              <w:tc>
                <w:tcPr>
                  <w:tcW w:w="3136" w:type="dxa"/>
                  <w:shd w:val="clear" w:color="auto" w:fill="auto"/>
                  <w:vAlign w:val="center"/>
                </w:tcPr>
                <w:p>
                  <w:pPr>
                    <w:spacing w:line="360" w:lineRule="exact"/>
                    <w:ind w:left="198" w:leftChars="0" w:hanging="198" w:hangingChars="100"/>
                    <w:jc w:val="center"/>
                    <w:rPr>
                      <w:lang w:val="en-GB"/>
                    </w:rPr>
                  </w:pPr>
                  <w:r>
                    <w:rPr>
                      <w:rFonts w:hint="eastAsia"/>
                      <w:spacing w:val="-6"/>
                      <w:szCs w:val="21"/>
                    </w:rPr>
                    <w:t>交付数/合格数×100%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生技部</w:t>
                  </w:r>
                </w:p>
              </w:tc>
              <w:tc>
                <w:tcPr>
                  <w:tcW w:w="1774" w:type="dxa"/>
                  <w:shd w:val="clear" w:color="auto" w:fill="auto"/>
                  <w:vAlign w:val="center"/>
                </w:tcPr>
                <w:p>
                  <w:pPr>
                    <w:spacing w:line="360" w:lineRule="exact"/>
                    <w:jc w:val="center"/>
                    <w:rPr>
                      <w:rFonts w:ascii="宋体" w:hAnsi="宋体"/>
                      <w:lang w:val="en-GB"/>
                    </w:rPr>
                  </w:pPr>
                  <w:r>
                    <w:rPr>
                      <w:rFonts w:hint="eastAsia" w:ascii="宋体" w:hAnsi="宋体"/>
                      <w:spacing w:val="-2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5"/>
                    <w:pBdr>
                      <w:bottom w:val="none" w:color="auto" w:sz="0" w:space="0"/>
                    </w:pBdr>
                    <w:tabs>
                      <w:tab w:val="left" w:pos="420"/>
                    </w:tabs>
                    <w:spacing w:line="240" w:lineRule="exact"/>
                    <w:jc w:val="both"/>
                  </w:pPr>
                  <w:r>
                    <w:rPr>
                      <w:rFonts w:hint="eastAsia" w:ascii="宋体" w:hAnsi="宋体"/>
                      <w:sz w:val="21"/>
                      <w:szCs w:val="21"/>
                    </w:rPr>
                    <w:t>顾客满意</w:t>
                  </w:r>
                  <w:r>
                    <w:rPr>
                      <w:rFonts w:hint="eastAsia" w:ascii="宋体" w:hAnsi="宋体"/>
                      <w:sz w:val="21"/>
                      <w:szCs w:val="21"/>
                    </w:rPr>
                    <w:t>≥90</w:t>
                  </w:r>
                  <w:r>
                    <w:rPr>
                      <w:rFonts w:hint="eastAsia" w:ascii="宋体" w:hAnsi="宋体"/>
                      <w:bCs/>
                      <w:sz w:val="21"/>
                      <w:szCs w:val="21"/>
                    </w:rPr>
                    <w:t>分</w:t>
                  </w:r>
                </w:p>
              </w:tc>
              <w:tc>
                <w:tcPr>
                  <w:tcW w:w="3136" w:type="dxa"/>
                  <w:shd w:val="clear" w:color="auto" w:fill="auto"/>
                  <w:vAlign w:val="center"/>
                </w:tcPr>
                <w:p>
                  <w:pPr>
                    <w:spacing w:line="360" w:lineRule="exact"/>
                    <w:ind w:left="198" w:leftChars="0" w:hanging="198" w:hangingChars="100"/>
                    <w:jc w:val="center"/>
                    <w:rPr>
                      <w:rFonts w:ascii="宋体" w:hAnsi="宋体"/>
                    </w:rPr>
                  </w:pPr>
                  <w:r>
                    <w:rPr>
                      <w:rFonts w:hint="eastAsia"/>
                      <w:spacing w:val="-6"/>
                      <w:szCs w:val="21"/>
                    </w:rPr>
                    <w:t>数据统计分析</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pacing w:line="360" w:lineRule="exact"/>
                    <w:jc w:val="center"/>
                    <w:rPr>
                      <w:rFonts w:ascii="宋体" w:hAnsi="宋体"/>
                    </w:rPr>
                  </w:pPr>
                  <w:r>
                    <w:rPr>
                      <w:rFonts w:hint="eastAsia" w:ascii="宋体" w:hAnsi="宋体"/>
                      <w:spacing w:val="-20"/>
                      <w:szCs w:val="21"/>
                    </w:rPr>
                    <w:t>95</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eastAsia" w:eastAsia="宋体"/>
                <w:u w:val="single"/>
                <w:lang w:val="en-US" w:eastAsia="zh-CN"/>
              </w:rPr>
            </w:pPr>
            <w:r>
              <w:rPr>
                <w:rFonts w:hint="eastAsia"/>
              </w:rPr>
              <w:t>主要生产设备有：</w:t>
            </w:r>
            <w:r>
              <w:rPr>
                <w:rFonts w:hint="eastAsia"/>
                <w:u w:val="single"/>
                <w:lang w:val="en-US" w:eastAsia="zh-CN"/>
              </w:rPr>
              <w:t>电脑、</w:t>
            </w:r>
            <w:r>
              <w:rPr>
                <w:rFonts w:hint="eastAsia" w:ascii="Times New Roman" w:hAnsi="Times New Roman" w:eastAsia="宋体" w:cs="Times New Roman"/>
                <w:color w:val="000000" w:themeColor="text1"/>
                <w:u w:val="single"/>
              </w:rPr>
              <w:t>数字万用表</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ascii="Times New Roman" w:hAnsi="Times New Roman" w:eastAsia="宋体" w:cs="Times New Roman"/>
                <w:color w:val="000000" w:themeColor="text1"/>
                <w:u w:val="single"/>
              </w:rPr>
              <w:t>数字万用表</w:t>
            </w:r>
            <w:r>
              <w:rPr>
                <w:rFonts w:hint="eastAsia" w:ascii="Times New Roman" w:hAnsi="Times New Roman" w:eastAsia="宋体" w:cs="Times New Roman"/>
                <w:color w:val="000000" w:themeColor="text1"/>
                <w:u w:val="single"/>
                <w:lang w:eastAsia="zh-CN"/>
              </w:rPr>
              <w:t>、</w:t>
            </w:r>
            <w:r>
              <w:rPr>
                <w:rFonts w:hint="eastAsia" w:ascii="Times New Roman" w:hAnsi="Times New Roman" w:eastAsia="宋体" w:cs="Times New Roman"/>
                <w:color w:val="000000" w:themeColor="text1"/>
                <w:u w:val="single"/>
                <w:lang w:val="en-US" w:eastAsia="zh-CN"/>
              </w:rPr>
              <w:t>卡尺</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Times New Roman" w:hAnsi="Times New Roman" w:cs="Times New Roman"/>
                <w:u w:val="single"/>
              </w:rPr>
              <w:t>边缘代理软件</w:t>
            </w:r>
            <w:r>
              <w:rPr>
                <w:rFonts w:hint="eastAsia" w:ascii="Times New Roman" w:hAnsi="Times New Roman" w:cs="Times New Roman"/>
              </w:rPr>
              <w:t xml:space="preserve">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通过年度策划于2021.12.30实施了质量管理体系内部审核，对质量管理体系的符合性和有效性进行了审核。内审发现的项不符合在本次审核前已完成整改。在公司内完成的这些审核是可信的。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最高管理者已按策划的时间间隔，在2022年02月20日对组织的质量管理体系进行了评审，以确保其持续的适宜性、充分性和有效性；管理评审输入、输出均按要求提供。并对提出的改进措施进行了落实。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rPr>
              <w:t>1</w:t>
            </w:r>
          </w:p>
        </w:tc>
        <w:tc>
          <w:tcPr>
            <w:tcW w:w="650" w:type="dxa"/>
            <w:vAlign w:val="center"/>
          </w:tcPr>
          <w:p>
            <w:pPr>
              <w:shd w:val="clear" w:color="auto" w:fill="C7DAF1" w:themeFill="text2" w:themeFillTint="32"/>
              <w:rPr>
                <w:rFonts w:hint="default" w:eastAsia="宋体"/>
                <w:lang w:val="en-US" w:eastAsia="zh-CN"/>
              </w:rPr>
            </w:pPr>
            <w:r>
              <w:rPr>
                <w:rFonts w:hint="eastAsia"/>
              </w:rPr>
              <w:t>1</w:t>
            </w:r>
          </w:p>
        </w:tc>
        <w:tc>
          <w:tcPr>
            <w:tcW w:w="650" w:type="dxa"/>
            <w:vAlign w:val="center"/>
          </w:tcPr>
          <w:p>
            <w:pPr>
              <w:shd w:val="clear" w:color="auto" w:fill="C7DAF1" w:themeFill="text2" w:themeFillTint="32"/>
              <w:rPr>
                <w:rFonts w:hint="eastAsia" w:eastAsia="宋体"/>
                <w:lang w:val="en-US" w:eastAsia="zh-CN"/>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49"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B673B5"/>
    <w:rsid w:val="27895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2022-04-09T23:43:17Z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