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866"/>
        <w:gridCol w:w="1072"/>
        <w:gridCol w:w="762"/>
        <w:gridCol w:w="256"/>
        <w:gridCol w:w="294"/>
        <w:gridCol w:w="109"/>
        <w:gridCol w:w="571"/>
        <w:gridCol w:w="21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南京德科电力科技有限公司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南京市玄武区玄武大道108号徐庄高新区二期聚慧园5号楼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南京市玄武区玄武大道108号徐庄高新区二期聚慧园5号楼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李祥</w:t>
            </w:r>
            <w:bookmarkEnd w:id="3"/>
          </w:p>
        </w:tc>
        <w:tc>
          <w:tcPr>
            <w:tcW w:w="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18652098225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90" w:type="dxa"/>
            <w:gridSpan w:val="3"/>
            <w:vAlign w:val="center"/>
          </w:tcPr>
          <w:p>
            <w:bookmarkStart w:id="7" w:name="管代电话"/>
            <w:r>
              <w:t>18251882558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0062-2020-Q-2022</w:t>
            </w:r>
            <w:bookmarkEnd w:id="8"/>
          </w:p>
        </w:tc>
        <w:tc>
          <w:tcPr>
            <w:tcW w:w="9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13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bookmarkStart w:id="31" w:name="_GoBack"/>
            <w:r>
              <w:rPr>
                <w:sz w:val="20"/>
              </w:rPr>
              <w:t>环境及电力电子传感器监测设备、通讯及电力自动化仪器仪表设备、智能安防节能设备的一体化软硬件研发、销售及技术服务</w:t>
            </w:r>
            <w:bookmarkEnd w:id="31"/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19.05.01;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19.14.00;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33.02.01;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远程审核于2022年04月02日 上午至2022年04月02日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19.05.01,19.14.00,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33.02.01,34.06.00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3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vAlign w:val="center"/>
          </w:tcPr>
          <w:p/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/>
        </w:tc>
        <w:tc>
          <w:tcPr>
            <w:tcW w:w="1446" w:type="dxa"/>
            <w:gridSpan w:val="5"/>
            <w:vAlign w:val="center"/>
          </w:tcPr>
          <w:p/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46990</wp:posOffset>
                  </wp:positionV>
                  <wp:extent cx="400685" cy="307975"/>
                  <wp:effectExtent l="0" t="0" r="5715" b="952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142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</w:t>
            </w:r>
          </w:p>
        </w:tc>
      </w:tr>
    </w:tbl>
    <w:p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-591185</wp:posOffset>
            </wp:positionV>
            <wp:extent cx="7049770" cy="10327640"/>
            <wp:effectExtent l="0" t="0" r="11430" b="10160"/>
            <wp:wrapNone/>
            <wp:docPr id="1" name="图片 1" descr="30c86664f2fe4d129a168f5455b4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c86664f2fe4d129a168f5455b45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9770" cy="1032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年4月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号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华文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0-09: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华文楷体" w:hAnsi="华文楷体" w:eastAsia="华文楷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09: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b w:val="0"/>
                <w:bCs w:val="0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:3</w:t>
            </w:r>
            <w:r>
              <w:rPr>
                <w:rFonts w:ascii="华文楷体" w:hAnsi="华文楷体" w:eastAsia="华文楷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与管理层有关的质量管理活动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4.3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、7.4、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9.1.1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10.3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  <w:t>标准</w:t>
            </w:r>
            <w:r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  <w:t>规范</w:t>
            </w:r>
            <w:r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  <w:t>法规的执行情况；上次审核不符合项的验证；认证证书、标志的使用情况；投诉或事故；监督抽查情况；体系变化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b w:val="0"/>
                <w:bCs w:val="0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华文楷体" w:hAnsi="华文楷体" w:eastAsia="华文楷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职责、人员能力、意识、知识管理、文件/记录控制、内部审核，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销售过程及合同管理；顾客满意调查等与本部门有关的质量控制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质量问题处理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等；</w:t>
            </w:r>
          </w:p>
        </w:tc>
        <w:tc>
          <w:tcPr>
            <w:tcW w:w="2795" w:type="dxa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5.3、6.2、7.1.2、7.1.3、7.1.4、7.1.6、7.2、7.3、7.5、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8.4、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9.1.2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9.2 、10.2</w:t>
            </w:r>
          </w:p>
          <w:p>
            <w:pPr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12:00-1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jc w:val="both"/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:00-1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部门职责权限、目标管理方案、基础设施、过程环境、生产实现过程、产品和服务的要求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质量研发过程的控制过程等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8.3、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10.2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0-1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审核组整理资料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华文楷体" w:hAnsi="华文楷体" w:eastAsia="华文楷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0-1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与受审核方领导层沟通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cs="Tahom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pStyle w:val="2"/>
        <w:rPr>
          <w:b w:val="0"/>
          <w:bCs w:val="0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11C8B"/>
    <w:rsid w:val="27FE20CC"/>
    <w:rsid w:val="4EEB7C71"/>
    <w:rsid w:val="66D64608"/>
    <w:rsid w:val="7F773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2022-04-09T22:38:47Z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