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0183-2021-QEO-2022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江西正天酒店用品有限公司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江西正天酒店用品有限公司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江西省南昌市青山湖区昌安路565号洪大城东产业园1#楼202室</w:t>
            </w:r>
            <w:bookmarkEnd w:id="6"/>
          </w:p>
        </w:tc>
        <w:tc>
          <w:tcPr>
            <w:tcW w:w="1242" w:type="dxa"/>
            <w:vMerge w:val="restart"/>
            <w:vAlign w:val="center"/>
          </w:tcPr>
          <w:p>
            <w:r>
              <w:rPr>
                <w:rFonts w:hint="eastAsia"/>
              </w:rPr>
              <w:t>邮编</w:t>
            </w:r>
          </w:p>
        </w:tc>
        <w:tc>
          <w:tcPr>
            <w:tcW w:w="1771" w:type="dxa"/>
          </w:tcPr>
          <w:p>
            <w:bookmarkStart w:id="7" w:name="注册邮编"/>
            <w:r>
              <w:t>330006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江西省南昌市青山湖区昌安路565号洪大城东产业园1#楼202室</w:t>
            </w:r>
            <w:bookmarkEnd w:id="8"/>
          </w:p>
        </w:tc>
        <w:tc>
          <w:tcPr>
            <w:tcW w:w="1242" w:type="dxa"/>
            <w:vMerge w:val="continue"/>
            <w:vAlign w:val="center"/>
          </w:tcPr>
          <w:p/>
        </w:tc>
        <w:tc>
          <w:tcPr>
            <w:tcW w:w="1771" w:type="dxa"/>
          </w:tcPr>
          <w:p>
            <w:bookmarkStart w:id="9" w:name="办公邮编"/>
            <w:r>
              <w:t>330006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陈智波</w:t>
            </w:r>
            <w:bookmarkEnd w:id="10"/>
          </w:p>
        </w:tc>
        <w:tc>
          <w:tcPr>
            <w:tcW w:w="1313" w:type="dxa"/>
            <w:vAlign w:val="center"/>
          </w:tcPr>
          <w:p>
            <w:r>
              <w:rPr>
                <w:rFonts w:hint="eastAsia"/>
              </w:rPr>
              <w:t>电话.</w:t>
            </w:r>
          </w:p>
        </w:tc>
        <w:tc>
          <w:tcPr>
            <w:tcW w:w="2180" w:type="dxa"/>
            <w:vAlign w:val="center"/>
          </w:tcPr>
          <w:p>
            <w:bookmarkStart w:id="11" w:name="联系人电话"/>
            <w:r>
              <w:t>0791-88133309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聂小芳</w:t>
            </w:r>
            <w:bookmarkEnd w:id="13"/>
          </w:p>
        </w:tc>
        <w:tc>
          <w:tcPr>
            <w:tcW w:w="1313" w:type="dxa"/>
            <w:vAlign w:val="center"/>
          </w:tcPr>
          <w:p>
            <w:r>
              <w:rPr>
                <w:rFonts w:hint="eastAsia"/>
              </w:rPr>
              <w:t>管理者代表</w:t>
            </w:r>
          </w:p>
        </w:tc>
        <w:tc>
          <w:tcPr>
            <w:tcW w:w="2180" w:type="dxa"/>
          </w:tcPr>
          <w:p>
            <w:bookmarkStart w:id="14" w:name="管理者代表"/>
            <w:r>
              <w:t>周建龙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产品要求信息获取----产品要求评审-----签订合同----采购 -----质检------销售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2022年04月01日 上午至2022年04月03日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审核准则</w:t>
            </w:r>
          </w:p>
          <w:p/>
        </w:tc>
        <w:tc>
          <w:tcPr>
            <w:tcW w:w="7831" w:type="dxa"/>
            <w:gridSpan w:val="3"/>
            <w:tcMar>
              <w:left w:w="113" w:type="dxa"/>
            </w:tcMar>
            <w:vAlign w:val="top"/>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Q：酒店用品、厨房设备的销售</w:t>
            </w:r>
          </w:p>
          <w:p>
            <w:r>
              <w:t>E：酒店用品、厨房设备的销售所涉及场所的相关环境管理活动</w:t>
            </w:r>
          </w:p>
          <w:p>
            <w:r>
              <w:t>O：酒店用品、厨房设备的销售所涉及场所的相关职业健康安全管理活动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2020年10月10日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2021年03月20日 上午至2021年03月21日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8"/>
        <w:tblW w:w="978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510"/>
        <w:gridCol w:w="2155"/>
        <w:gridCol w:w="614"/>
        <w:gridCol w:w="1663"/>
        <w:gridCol w:w="655"/>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3510" w:type="dxa"/>
            <w:shd w:val="clear" w:color="auto" w:fill="F3F3F3"/>
            <w:tcMar>
              <w:left w:w="57" w:type="dxa"/>
              <w:right w:w="57" w:type="dxa"/>
            </w:tcMar>
          </w:tcPr>
          <w:p>
            <w:pPr>
              <w:rPr>
                <w:rFonts w:hint="eastAsia"/>
              </w:rPr>
            </w:pPr>
            <w:r>
              <w:rPr>
                <w:rFonts w:hint="eastAsia"/>
              </w:rPr>
              <w:t>组织名称及注册场所地址</w:t>
            </w:r>
          </w:p>
        </w:tc>
        <w:tc>
          <w:tcPr>
            <w:tcW w:w="2155" w:type="dxa"/>
            <w:shd w:val="clear" w:color="auto" w:fill="F3F3F3"/>
            <w:tcMar>
              <w:left w:w="57" w:type="dxa"/>
              <w:right w:w="57" w:type="dxa"/>
            </w:tcMar>
          </w:tcPr>
          <w:p>
            <w:r>
              <w:rPr>
                <w:rFonts w:hint="eastAsia"/>
              </w:rPr>
              <w:t>经营场所的地址</w:t>
            </w:r>
          </w:p>
          <w:p>
            <w:r>
              <w:rPr>
                <w:rFonts w:hint="eastAsia"/>
              </w:rPr>
              <w:t>（多现场和临时现场）</w:t>
            </w:r>
          </w:p>
        </w:tc>
        <w:tc>
          <w:tcPr>
            <w:tcW w:w="614" w:type="dxa"/>
            <w:shd w:val="clear" w:color="auto" w:fill="F3F3F3"/>
            <w:tcMar>
              <w:left w:w="57" w:type="dxa"/>
              <w:right w:w="57" w:type="dxa"/>
            </w:tcMar>
          </w:tcPr>
          <w:p>
            <w:r>
              <w:rPr>
                <w:rFonts w:hint="eastAsia"/>
              </w:rPr>
              <w:t>员工人数</w:t>
            </w:r>
          </w:p>
        </w:tc>
        <w:tc>
          <w:tcPr>
            <w:tcW w:w="1663" w:type="dxa"/>
            <w:shd w:val="clear" w:color="auto" w:fill="F3F3F3"/>
            <w:tcMar>
              <w:left w:w="57" w:type="dxa"/>
              <w:right w:w="57" w:type="dxa"/>
            </w:tcMar>
          </w:tcPr>
          <w:p>
            <w:r>
              <w:rPr>
                <w:rFonts w:hint="eastAsia"/>
              </w:rPr>
              <w:t>审核范围（产品和过程）</w:t>
            </w:r>
          </w:p>
          <w:p/>
          <w:p/>
        </w:tc>
        <w:tc>
          <w:tcPr>
            <w:tcW w:w="655" w:type="dxa"/>
            <w:shd w:val="clear" w:color="auto" w:fill="F3F3F3"/>
            <w:tcMar>
              <w:left w:w="57" w:type="dxa"/>
              <w:right w:w="57" w:type="dxa"/>
            </w:tcMar>
          </w:tcPr>
          <w:p>
            <w:r>
              <w:rPr>
                <w:rFonts w:hint="eastAsia"/>
              </w:rPr>
              <w:t>标准</w:t>
            </w:r>
          </w:p>
        </w:tc>
        <w:tc>
          <w:tcPr>
            <w:tcW w:w="54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3510" w:type="dxa"/>
          </w:tcPr>
          <w:p>
            <w:r>
              <w:t>江西正天酒店用品有限公司</w:t>
            </w:r>
          </w:p>
          <w:p>
            <w:pPr>
              <w:pStyle w:val="12"/>
              <w:rPr>
                <w:rFonts w:hint="eastAsia"/>
                <w:lang w:val="de-DE" w:eastAsia="ja-JP"/>
              </w:rPr>
            </w:pPr>
            <w:r>
              <w:rPr>
                <w:rFonts w:hint="eastAsia"/>
                <w:lang w:val="de-DE" w:eastAsia="ja-JP"/>
              </w:rPr>
              <w:t>江西省南昌市青山湖区昌安路565号洪大城东产业园1#楼202室</w:t>
            </w:r>
          </w:p>
        </w:tc>
        <w:tc>
          <w:tcPr>
            <w:tcW w:w="2155" w:type="dxa"/>
          </w:tcPr>
          <w:p>
            <w:pPr>
              <w:rPr>
                <w:lang w:val="de-DE" w:eastAsia="ja-JP"/>
              </w:rPr>
            </w:pPr>
            <w:r>
              <w:rPr>
                <w:rFonts w:hint="eastAsia"/>
                <w:lang w:val="de-DE" w:eastAsia="ja-JP"/>
              </w:rPr>
              <w:t>江西省南昌市青山湖区昌安路565号洪大城东产业园1#楼202室</w:t>
            </w:r>
          </w:p>
        </w:tc>
        <w:tc>
          <w:tcPr>
            <w:tcW w:w="614" w:type="dxa"/>
            <w:vAlign w:val="center"/>
          </w:tcPr>
          <w:p>
            <w:pPr>
              <w:rPr>
                <w:rFonts w:hint="default" w:eastAsia="宋体"/>
                <w:lang w:val="en-US" w:eastAsia="zh-CN"/>
              </w:rPr>
            </w:pPr>
            <w:r>
              <w:rPr>
                <w:rFonts w:hint="eastAsia"/>
                <w:lang w:val="en-US" w:eastAsia="zh-CN"/>
              </w:rPr>
              <w:t>10</w:t>
            </w:r>
          </w:p>
        </w:tc>
        <w:tc>
          <w:tcPr>
            <w:tcW w:w="1663" w:type="dxa"/>
            <w:vAlign w:val="center"/>
          </w:tcPr>
          <w:p>
            <w:pPr>
              <w:rPr>
                <w:lang w:eastAsia="ja-JP"/>
              </w:rPr>
            </w:pPr>
            <w:r>
              <w:t>酒店用品、厨房设备的销售</w:t>
            </w:r>
          </w:p>
        </w:tc>
        <w:tc>
          <w:tcPr>
            <w:tcW w:w="655" w:type="dxa"/>
            <w:vAlign w:val="center"/>
          </w:tcPr>
          <w:p>
            <w:pPr>
              <w:rPr>
                <w:rFonts w:hint="default" w:eastAsia="宋体"/>
                <w:lang w:val="en-US" w:eastAsia="zh-CN"/>
              </w:rPr>
            </w:pPr>
            <w:r>
              <w:rPr>
                <w:rFonts w:hint="eastAsia"/>
                <w:lang w:val="en-US" w:eastAsia="zh-CN"/>
              </w:rPr>
              <w:t>QEO</w:t>
            </w:r>
          </w:p>
        </w:tc>
        <w:tc>
          <w:tcPr>
            <w:tcW w:w="545"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3510" w:type="dxa"/>
            <w:vAlign w:val="center"/>
          </w:tcPr>
          <w:p>
            <w:pPr>
              <w:rPr>
                <w:lang w:eastAsia="ja-JP"/>
              </w:rPr>
            </w:pPr>
          </w:p>
        </w:tc>
        <w:tc>
          <w:tcPr>
            <w:tcW w:w="2155" w:type="dxa"/>
            <w:vAlign w:val="center"/>
          </w:tcPr>
          <w:p>
            <w:pPr>
              <w:rPr>
                <w:lang w:eastAsia="ja-JP"/>
              </w:rPr>
            </w:pPr>
          </w:p>
        </w:tc>
        <w:tc>
          <w:tcPr>
            <w:tcW w:w="614" w:type="dxa"/>
            <w:vAlign w:val="center"/>
          </w:tcPr>
          <w:p>
            <w:pPr>
              <w:rPr>
                <w:lang w:eastAsia="ja-JP"/>
              </w:rPr>
            </w:pPr>
          </w:p>
        </w:tc>
        <w:tc>
          <w:tcPr>
            <w:tcW w:w="1663" w:type="dxa"/>
            <w:vAlign w:val="center"/>
          </w:tcPr>
          <w:p>
            <w:pPr>
              <w:rPr>
                <w:lang w:eastAsia="ja-JP"/>
              </w:rPr>
            </w:pPr>
          </w:p>
        </w:tc>
        <w:tc>
          <w:tcPr>
            <w:tcW w:w="655" w:type="dxa"/>
            <w:vAlign w:val="center"/>
          </w:tcPr>
          <w:p>
            <w:pPr>
              <w:rPr>
                <w:lang w:eastAsia="ja-JP"/>
              </w:rPr>
            </w:pPr>
          </w:p>
        </w:tc>
        <w:tc>
          <w:tcPr>
            <w:tcW w:w="545"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3510" w:type="dxa"/>
            <w:vAlign w:val="center"/>
          </w:tcPr>
          <w:p>
            <w:pPr>
              <w:rPr>
                <w:lang w:eastAsia="ja-JP"/>
              </w:rPr>
            </w:pPr>
          </w:p>
        </w:tc>
        <w:tc>
          <w:tcPr>
            <w:tcW w:w="2155" w:type="dxa"/>
            <w:vAlign w:val="center"/>
          </w:tcPr>
          <w:p>
            <w:pPr>
              <w:rPr>
                <w:lang w:eastAsia="ja-JP"/>
              </w:rPr>
            </w:pPr>
          </w:p>
        </w:tc>
        <w:tc>
          <w:tcPr>
            <w:tcW w:w="614" w:type="dxa"/>
            <w:vAlign w:val="center"/>
          </w:tcPr>
          <w:p>
            <w:pPr>
              <w:rPr>
                <w:lang w:eastAsia="ja-JP"/>
              </w:rPr>
            </w:pPr>
          </w:p>
        </w:tc>
        <w:tc>
          <w:tcPr>
            <w:tcW w:w="1663" w:type="dxa"/>
            <w:vAlign w:val="center"/>
          </w:tcPr>
          <w:p>
            <w:pPr>
              <w:rPr>
                <w:lang w:eastAsia="ja-JP"/>
              </w:rPr>
            </w:pPr>
          </w:p>
        </w:tc>
        <w:tc>
          <w:tcPr>
            <w:tcW w:w="655" w:type="dxa"/>
            <w:vAlign w:val="center"/>
          </w:tcPr>
          <w:p>
            <w:pPr>
              <w:rPr>
                <w:lang w:eastAsia="ja-JP"/>
              </w:rPr>
            </w:pPr>
          </w:p>
        </w:tc>
        <w:tc>
          <w:tcPr>
            <w:tcW w:w="545"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3510" w:type="dxa"/>
            <w:vAlign w:val="center"/>
          </w:tcPr>
          <w:p>
            <w:pPr>
              <w:rPr>
                <w:lang w:eastAsia="ja-JP"/>
              </w:rPr>
            </w:pPr>
          </w:p>
        </w:tc>
        <w:tc>
          <w:tcPr>
            <w:tcW w:w="2155" w:type="dxa"/>
            <w:vAlign w:val="center"/>
          </w:tcPr>
          <w:p>
            <w:pPr>
              <w:rPr>
                <w:lang w:eastAsia="ja-JP"/>
              </w:rPr>
            </w:pPr>
          </w:p>
        </w:tc>
        <w:tc>
          <w:tcPr>
            <w:tcW w:w="614" w:type="dxa"/>
            <w:vAlign w:val="center"/>
          </w:tcPr>
          <w:p>
            <w:pPr>
              <w:rPr>
                <w:lang w:eastAsia="ja-JP"/>
              </w:rPr>
            </w:pPr>
          </w:p>
        </w:tc>
        <w:tc>
          <w:tcPr>
            <w:tcW w:w="1663" w:type="dxa"/>
            <w:vAlign w:val="center"/>
          </w:tcPr>
          <w:p>
            <w:pPr>
              <w:rPr>
                <w:lang w:eastAsia="ja-JP"/>
              </w:rPr>
            </w:pPr>
          </w:p>
        </w:tc>
        <w:tc>
          <w:tcPr>
            <w:tcW w:w="655" w:type="dxa"/>
            <w:vAlign w:val="center"/>
          </w:tcPr>
          <w:p>
            <w:pPr>
              <w:rPr>
                <w:lang w:eastAsia="ja-JP"/>
              </w:rPr>
            </w:pPr>
          </w:p>
        </w:tc>
        <w:tc>
          <w:tcPr>
            <w:tcW w:w="545"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3510" w:type="dxa"/>
            <w:vAlign w:val="center"/>
          </w:tcPr>
          <w:p>
            <w:pPr>
              <w:rPr>
                <w:lang w:eastAsia="ja-JP"/>
              </w:rPr>
            </w:pPr>
          </w:p>
        </w:tc>
        <w:tc>
          <w:tcPr>
            <w:tcW w:w="2155" w:type="dxa"/>
            <w:vAlign w:val="center"/>
          </w:tcPr>
          <w:p>
            <w:pPr>
              <w:rPr>
                <w:lang w:eastAsia="ja-JP"/>
              </w:rPr>
            </w:pPr>
          </w:p>
        </w:tc>
        <w:tc>
          <w:tcPr>
            <w:tcW w:w="614" w:type="dxa"/>
            <w:vAlign w:val="center"/>
          </w:tcPr>
          <w:p>
            <w:pPr>
              <w:rPr>
                <w:lang w:eastAsia="ja-JP"/>
              </w:rPr>
            </w:pPr>
          </w:p>
        </w:tc>
        <w:tc>
          <w:tcPr>
            <w:tcW w:w="1663" w:type="dxa"/>
            <w:vAlign w:val="center"/>
          </w:tcPr>
          <w:p>
            <w:pPr>
              <w:rPr>
                <w:lang w:eastAsia="ja-JP"/>
              </w:rPr>
            </w:pPr>
          </w:p>
        </w:tc>
        <w:tc>
          <w:tcPr>
            <w:tcW w:w="655" w:type="dxa"/>
            <w:vAlign w:val="center"/>
          </w:tcPr>
          <w:p>
            <w:pPr>
              <w:rPr>
                <w:lang w:eastAsia="ja-JP"/>
              </w:rPr>
            </w:pPr>
          </w:p>
        </w:tc>
        <w:tc>
          <w:tcPr>
            <w:tcW w:w="545" w:type="dxa"/>
            <w:shd w:val="clear" w:color="auto" w:fill="FFFFFF"/>
          </w:tcPr>
          <w:p>
            <w:r>
              <w:rPr>
                <w:rFonts w:hint="eastAsia"/>
              </w:rPr>
              <w:t>☐</w:t>
            </w:r>
          </w:p>
        </w:tc>
      </w:tr>
    </w:tbl>
    <w:p/>
    <w:p>
      <w:r>
        <w:rPr>
          <w:rFonts w:hint="eastAsia"/>
        </w:rPr>
        <w:t>三、任何影响审核方案的重要事项：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理由说明</w:t>
            </w:r>
          </w:p>
          <w:p/>
        </w:tc>
        <w:tc>
          <w:tcPr>
            <w:tcW w:w="8016" w:type="dxa"/>
          </w:tcPr>
          <w:p/>
        </w:tc>
      </w:tr>
    </w:tbl>
    <w:p>
      <w:pPr>
        <w:ind w:firstLine="630" w:firstLineChars="300"/>
      </w:pPr>
    </w:p>
    <w:p>
      <w:pPr>
        <w:pStyle w:val="12"/>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089"/>
        <w:gridCol w:w="711"/>
        <w:gridCol w:w="3870"/>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63"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51"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34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51"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342"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63"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51"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342"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51" w:type="dxa"/>
            <w:vAlign w:val="center"/>
          </w:tcPr>
          <w:p/>
        </w:tc>
        <w:tc>
          <w:tcPr>
            <w:tcW w:w="1089" w:type="dxa"/>
            <w:vAlign w:val="center"/>
          </w:tcPr>
          <w:p/>
        </w:tc>
        <w:tc>
          <w:tcPr>
            <w:tcW w:w="711" w:type="dxa"/>
            <w:vAlign w:val="center"/>
          </w:tcPr>
          <w:p/>
        </w:tc>
        <w:tc>
          <w:tcPr>
            <w:tcW w:w="3870" w:type="dxa"/>
            <w:vAlign w:val="center"/>
          </w:tcPr>
          <w:p/>
        </w:tc>
        <w:tc>
          <w:tcPr>
            <w:tcW w:w="2342"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管理者代表变更为陈智波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12"/>
      </w:pP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813"/>
        <w:gridCol w:w="278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restart"/>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ascii="宋体"/>
                <w:b/>
                <w:color w:val="0000FF"/>
                <w:szCs w:val="21"/>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vAlign w:val="center"/>
          </w:tcPr>
          <w:p>
            <w:pPr>
              <w:rPr>
                <w:rFonts w:hint="eastAsia" w:ascii="宋体"/>
                <w:b/>
                <w:color w:val="0000FF"/>
                <w:szCs w:val="21"/>
              </w:rPr>
            </w:pPr>
          </w:p>
        </w:tc>
        <w:tc>
          <w:tcPr>
            <w:tcW w:w="8350" w:type="dxa"/>
            <w:gridSpan w:val="4"/>
            <w:shd w:val="clear" w:color="auto" w:fill="auto"/>
            <w:vAlign w:val="center"/>
          </w:tcPr>
          <w:p>
            <w:pPr>
              <w:rPr>
                <w:rFonts w:hint="eastAsia" w:ascii="宋体"/>
                <w:b/>
                <w:color w:val="0000FF"/>
                <w:szCs w:val="21"/>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rPr>
              <w:t>审核组长签字</w:t>
            </w:r>
          </w:p>
        </w:tc>
        <w:tc>
          <w:tcPr>
            <w:tcW w:w="2783" w:type="dxa"/>
            <w:gridSpan w:val="2"/>
            <w:shd w:val="clear" w:color="auto" w:fill="auto"/>
            <w:vAlign w:val="center"/>
          </w:tcPr>
          <w:p>
            <w:pPr>
              <w:rPr>
                <w:rFonts w:hint="eastAsia"/>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278130</wp:posOffset>
                  </wp:positionH>
                  <wp:positionV relativeFrom="paragraph">
                    <wp:posOffset>8890</wp:posOffset>
                  </wp:positionV>
                  <wp:extent cx="771525" cy="464820"/>
                  <wp:effectExtent l="0" t="0" r="9525" b="1206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71525" cy="464820"/>
                          </a:xfrm>
                          <a:prstGeom prst="rect">
                            <a:avLst/>
                          </a:prstGeom>
                          <a:noFill/>
                          <a:ln>
                            <a:noFill/>
                          </a:ln>
                        </pic:spPr>
                      </pic:pic>
                    </a:graphicData>
                  </a:graphic>
                </wp:anchor>
              </w:drawing>
            </w:r>
          </w:p>
          <w:p>
            <w:pPr>
              <w:pStyle w:val="12"/>
              <w:rPr>
                <w:rFonts w:hint="eastAsia"/>
              </w:rPr>
            </w:pPr>
          </w:p>
        </w:tc>
        <w:tc>
          <w:tcPr>
            <w:tcW w:w="2783" w:type="dxa"/>
            <w:shd w:val="clear" w:color="auto" w:fill="auto"/>
            <w:vAlign w:val="center"/>
          </w:tcPr>
          <w:p>
            <w:pPr>
              <w:rPr>
                <w:rFonts w:hint="eastAsia" w:ascii="宋体" w:hAnsi="宋体"/>
                <w:b/>
                <w:color w:val="0000FF"/>
                <w:spacing w:val="-10"/>
                <w:szCs w:val="21"/>
              </w:rPr>
            </w:pPr>
            <w:r>
              <w:rPr>
                <w:rFonts w:hint="eastAsia"/>
              </w:rPr>
              <w:t>日期</w:t>
            </w:r>
          </w:p>
        </w:tc>
        <w:tc>
          <w:tcPr>
            <w:tcW w:w="2784" w:type="dxa"/>
            <w:shd w:val="clear" w:color="auto" w:fill="auto"/>
            <w:vAlign w:val="center"/>
          </w:tcPr>
          <w:p>
            <w:pPr>
              <w:rPr>
                <w:rFonts w:hint="default" w:ascii="宋体" w:hAnsi="宋体" w:eastAsia="宋体"/>
                <w:b/>
                <w:color w:val="0000FF"/>
                <w:spacing w:val="-10"/>
                <w:szCs w:val="21"/>
                <w:lang w:val="en-US" w:eastAsia="zh-CN"/>
              </w:rPr>
            </w:pPr>
            <w:r>
              <w:rPr>
                <w:rFonts w:hint="eastAsia" w:ascii="宋体" w:hAnsi="宋体"/>
                <w:b/>
                <w:color w:val="0000FF"/>
                <w:spacing w:val="-10"/>
                <w:szCs w:val="21"/>
                <w:lang w:val="en-US" w:eastAsia="zh-CN"/>
              </w:rPr>
              <w:t>2022.4.4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质量至上、持续创新、诚实守信、顾客至上 </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供销部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Arial"/>
                      <w:color w:val="auto"/>
                      <w:spacing w:val="-6"/>
                      <w:sz w:val="21"/>
                      <w:szCs w:val="21"/>
                      <w:highlight w:val="none"/>
                      <w:lang w:val="en-US" w:eastAsia="zh-CN"/>
                    </w:rPr>
                    <w:t>竞争对手</w:t>
                  </w:r>
                </w:p>
              </w:tc>
              <w:tc>
                <w:tcPr>
                  <w:tcW w:w="3965" w:type="dxa"/>
                </w:tcPr>
                <w:p>
                  <w:pPr>
                    <w:shd w:val="clear" w:color="auto" w:fill="C7DAF1" w:themeFill="text2" w:themeFillTint="32"/>
                    <w:rPr>
                      <w:rFonts w:hint="eastAsia" w:eastAsia="宋体"/>
                      <w:lang w:eastAsia="zh-CN"/>
                    </w:rPr>
                  </w:pPr>
                  <w:r>
                    <w:rPr>
                      <w:rFonts w:hint="eastAsia"/>
                      <w:lang w:eastAsia="zh-CN"/>
                    </w:rPr>
                    <w:t>建立质量管理体系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市场经济形势的变化</w:t>
                  </w:r>
                </w:p>
              </w:tc>
              <w:tc>
                <w:tcPr>
                  <w:tcW w:w="3965" w:type="dxa"/>
                </w:tcPr>
                <w:p>
                  <w:pPr>
                    <w:shd w:val="clear" w:color="auto" w:fill="C7DAF1" w:themeFill="text2" w:themeFillTint="32"/>
                  </w:pPr>
                  <w:r>
                    <w:rPr>
                      <w:rFonts w:hint="eastAsia"/>
                      <w:lang w:eastAsia="zh-CN"/>
                    </w:rPr>
                    <w:t>建立质量管理体系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484"/>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48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交货及时率≥95%</w:t>
                  </w:r>
                </w:p>
              </w:tc>
              <w:tc>
                <w:tcPr>
                  <w:tcW w:w="3136" w:type="dxa"/>
                  <w:shd w:val="clear" w:color="auto" w:fill="auto"/>
                  <w:vAlign w:val="top"/>
                </w:tcPr>
                <w:p>
                  <w:pPr>
                    <w:spacing w:after="0"/>
                    <w:rPr>
                      <w:lang w:val="en-GB"/>
                    </w:rPr>
                  </w:pPr>
                  <w:r>
                    <w:rPr>
                      <w:rFonts w:hint="eastAsia"/>
                      <w:kern w:val="2"/>
                      <w:sz w:val="21"/>
                      <w:szCs w:val="21"/>
                    </w:rPr>
                    <w:t>交货及时率=当季交货及时数÷交货总次数×100%</w:t>
                  </w:r>
                </w:p>
              </w:tc>
              <w:tc>
                <w:tcPr>
                  <w:tcW w:w="1484"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供销部</w:t>
                  </w:r>
                </w:p>
              </w:tc>
              <w:tc>
                <w:tcPr>
                  <w:tcW w:w="1640"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eastAsia="宋体" w:cs="Times New Roman"/>
                      <w:color w:val="auto"/>
                      <w:szCs w:val="22"/>
                    </w:rPr>
                    <w:t>顾客满意度≥92分</w:t>
                  </w:r>
                </w:p>
              </w:tc>
              <w:tc>
                <w:tcPr>
                  <w:tcW w:w="3136" w:type="dxa"/>
                  <w:shd w:val="clear" w:color="auto" w:fill="auto"/>
                  <w:vAlign w:val="top"/>
                </w:tcPr>
                <w:p>
                  <w:pPr>
                    <w:spacing w:after="0"/>
                    <w:rPr>
                      <w:rFonts w:ascii="宋体" w:hAnsi="宋体"/>
                    </w:rPr>
                  </w:pPr>
                  <w:r>
                    <w:rPr>
                      <w:rFonts w:hint="eastAsia"/>
                      <w:sz w:val="21"/>
                      <w:szCs w:val="21"/>
                    </w:rPr>
                    <w:t>评定数÷总数×</w:t>
                  </w:r>
                  <w:r>
                    <w:rPr>
                      <w:sz w:val="21"/>
                      <w:szCs w:val="21"/>
                    </w:rPr>
                    <w:t>100%</w:t>
                  </w:r>
                </w:p>
              </w:tc>
              <w:tc>
                <w:tcPr>
                  <w:tcW w:w="1484"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640" w:type="dxa"/>
                  <w:shd w:val="clear" w:color="auto" w:fill="auto"/>
                  <w:vAlign w:val="center"/>
                </w:tcPr>
                <w:p>
                  <w:pPr>
                    <w:shd w:val="clear" w:color="auto" w:fill="C7DAF1" w:themeFill="text2" w:themeFillTint="32"/>
                    <w:jc w:val="center"/>
                    <w:rPr>
                      <w:rFonts w:ascii="宋体" w:hAnsi="宋体"/>
                    </w:rPr>
                  </w:pPr>
                  <w:r>
                    <w:rPr>
                      <w:rFonts w:hint="eastAsia" w:ascii="Times New Roman" w:hAnsi="Times New Roman" w:eastAsia="宋体" w:cs="Times New Roman"/>
                      <w:szCs w:val="22"/>
                      <w:highlight w:val="none"/>
                      <w:lang w:val="en-US" w:eastAsia="zh-CN"/>
                    </w:rPr>
                    <w:t>95.25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484"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484"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484"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电脑、车辆、扳手、老虎钳</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酒店用品、厨房设备的销售</w:t>
                  </w:r>
                </w:p>
              </w:tc>
              <w:tc>
                <w:tcPr>
                  <w:tcW w:w="3665" w:type="dxa"/>
                </w:tcPr>
                <w:p>
                  <w:pPr>
                    <w:shd w:val="clear" w:color="auto" w:fill="C7DAF1" w:themeFill="text2" w:themeFillTint="32"/>
                    <w:jc w:val="left"/>
                    <w:rPr>
                      <w:rFonts w:hint="eastAsia" w:eastAsia="宋体"/>
                      <w:lang w:eastAsia="zh-CN"/>
                    </w:rPr>
                  </w:pPr>
                  <w:r>
                    <w:rPr>
                      <w:rFonts w:hint="eastAsia"/>
                      <w:lang w:eastAsia="zh-CN"/>
                    </w:rPr>
                    <w:t>销售</w:t>
                  </w:r>
                </w:p>
              </w:tc>
              <w:tc>
                <w:tcPr>
                  <w:tcW w:w="3265" w:type="dxa"/>
                </w:tcPr>
                <w:p>
                  <w:pPr>
                    <w:shd w:val="clear" w:color="auto" w:fill="C7DAF1" w:themeFill="text2" w:themeFillTint="32"/>
                    <w:jc w:val="left"/>
                    <w:rPr>
                      <w:rFonts w:hint="eastAsia" w:eastAsia="宋体"/>
                      <w:lang w:eastAsia="zh-CN"/>
                    </w:rPr>
                  </w:pPr>
                  <w:r>
                    <w:rPr>
                      <w:rFonts w:hint="eastAsia"/>
                      <w:lang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Arial"/>
                <w:color w:val="auto"/>
                <w:spacing w:val="-6"/>
                <w:sz w:val="21"/>
                <w:szCs w:val="21"/>
                <w:lang w:val="en-US" w:eastAsia="zh-CN"/>
              </w:rPr>
              <w:t>2022年1月11-12日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Arial"/>
                <w:color w:val="auto"/>
                <w:spacing w:val="-6"/>
                <w:sz w:val="21"/>
                <w:szCs w:val="21"/>
                <w:highlight w:val="none"/>
                <w:lang w:val="en-US" w:eastAsia="zh-CN"/>
              </w:rPr>
              <w:t>2022年1月19日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质量至上、持续创新、诚实守信、顾客至上 </w:t>
            </w:r>
          </w:p>
          <w:p>
            <w:pPr>
              <w:spacing w:line="360" w:lineRule="auto"/>
              <w:ind w:firstLine="420" w:firstLineChars="200"/>
              <w:rPr>
                <w:u w:val="single"/>
              </w:rPr>
            </w:pPr>
            <w:r>
              <w:rPr>
                <w:rFonts w:hint="eastAsia" w:ascii="Times New Roman" w:hAnsi="Times New Roman" w:eastAsia="宋体" w:cs="Times New Roman"/>
                <w:color w:val="auto"/>
                <w:szCs w:val="22"/>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337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shd w:val="clear" w:color="auto" w:fill="EBF1DE" w:themeFill="accent3" w:themeFillTint="32"/>
                  </w:pPr>
                  <w:r>
                    <w:rPr>
                      <w:rFonts w:hint="eastAsia"/>
                    </w:rPr>
                    <w:t>主要的风险或机遇描述</w:t>
                  </w:r>
                </w:p>
              </w:tc>
              <w:tc>
                <w:tcPr>
                  <w:tcW w:w="337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shd w:val="clear" w:color="auto" w:fill="EBF1DE" w:themeFill="accent3" w:themeFillTint="32"/>
                  </w:pPr>
                  <w:r>
                    <w:rPr>
                      <w:rFonts w:hint="eastAsia" w:ascii="宋体" w:hAnsi="宋体" w:cs="Arial"/>
                      <w:color w:val="auto"/>
                      <w:spacing w:val="-6"/>
                      <w:sz w:val="21"/>
                      <w:szCs w:val="21"/>
                    </w:rPr>
                    <w:t>潜在火灾</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能源消耗</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固废排放</w:t>
                  </w:r>
                </w:p>
              </w:tc>
              <w:tc>
                <w:tcPr>
                  <w:tcW w:w="3376" w:type="dxa"/>
                </w:tcPr>
                <w:p>
                  <w:pPr>
                    <w:shd w:val="clear" w:color="auto" w:fill="EBF1DE" w:themeFill="accent3" w:themeFillTint="32"/>
                    <w:rPr>
                      <w:rFonts w:hint="eastAsia" w:eastAsia="宋体"/>
                      <w:lang w:eastAsia="zh-CN"/>
                    </w:rPr>
                  </w:pPr>
                  <w:r>
                    <w:rPr>
                      <w:rFonts w:hint="eastAsia"/>
                      <w:lang w:eastAsia="zh-CN"/>
                    </w:rPr>
                    <w:t>运行控制、应急预案</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shd w:val="clear" w:color="auto" w:fill="EBF1DE" w:themeFill="accent3" w:themeFillTint="32"/>
                  </w:pPr>
                </w:p>
              </w:tc>
              <w:tc>
                <w:tcPr>
                  <w:tcW w:w="3376"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shd w:val="clear" w:color="auto" w:fill="EBF1DE" w:themeFill="accent3" w:themeFillTint="32"/>
                  </w:pPr>
                </w:p>
              </w:tc>
              <w:tc>
                <w:tcPr>
                  <w:tcW w:w="3376"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shd w:val="clear" w:color="auto" w:fill="EBF1DE" w:themeFill="accent3" w:themeFillTint="32"/>
                  </w:pPr>
                </w:p>
              </w:tc>
              <w:tc>
                <w:tcPr>
                  <w:tcW w:w="337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40" w:lineRule="auto"/>
                  </w:pPr>
                  <w:r>
                    <w:rPr>
                      <w:rFonts w:hint="eastAsia" w:ascii="Times New Roman" w:hAnsi="Times New Roman" w:eastAsia="宋体" w:cs="Times New Roman"/>
                      <w:color w:val="auto"/>
                      <w:szCs w:val="22"/>
                    </w:rPr>
                    <w:t>固体废弃物分类处理率100%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color w:val="auto"/>
                      <w:szCs w:val="22"/>
                    </w:rPr>
                    <w:t>火灾事故未0</w:t>
                  </w:r>
                </w:p>
              </w:tc>
              <w:tc>
                <w:tcPr>
                  <w:tcW w:w="3136"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运行控制、应急预案</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电脑、车辆、扳手、老虎钳</w:t>
            </w:r>
          </w:p>
          <w:p>
            <w:pPr>
              <w:shd w:val="clear" w:color="auto" w:fill="EBF1DE" w:themeFill="accent3" w:themeFillTint="32"/>
              <w:rPr>
                <w:u w:val="single"/>
              </w:rPr>
            </w:pPr>
            <w:r>
              <w:rPr>
                <w:rFonts w:hint="eastAsia"/>
              </w:rPr>
              <w:t>主要环保设备有：</w:t>
            </w:r>
            <w:r>
              <w:rPr>
                <w:rFonts w:hint="eastAsia"/>
                <w:u w:val="single"/>
              </w:rPr>
              <w:t>灭火器、消防栓、垃圾桶等</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运行控制、应急管理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于2022.1.10进行了的演练；并总结了预案的可行性和有效性。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ascii="Times New Roman" w:hAnsi="Times New Roman" w:eastAsia="宋体" w:cs="Times New Roman"/>
                <w:lang w:val="en-US" w:eastAsia="zh-CN"/>
              </w:rPr>
              <w:t>2021年12月8日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Arial"/>
                <w:color w:val="auto"/>
                <w:spacing w:val="-6"/>
                <w:sz w:val="21"/>
                <w:szCs w:val="21"/>
                <w:lang w:val="en-US" w:eastAsia="zh-CN"/>
              </w:rPr>
              <w:t>2022年1月11-12日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eastAsia="宋体" w:cs="Arial"/>
                <w:color w:val="auto"/>
                <w:spacing w:val="-6"/>
                <w:sz w:val="21"/>
                <w:szCs w:val="21"/>
                <w:highlight w:val="none"/>
                <w:lang w:val="en-US" w:eastAsia="zh-CN"/>
              </w:rPr>
              <w:t>2022年1月19日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98"/>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98"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98"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98"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98"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98"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98"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质量至上、持续创新、诚实守信、顾客至上 </w:t>
            </w:r>
          </w:p>
          <w:p>
            <w:pPr>
              <w:spacing w:line="360" w:lineRule="auto"/>
              <w:ind w:firstLine="420" w:firstLineChars="200"/>
              <w:rPr>
                <w:u w:val="single"/>
              </w:rPr>
            </w:pPr>
            <w:r>
              <w:rPr>
                <w:rFonts w:hint="eastAsia" w:ascii="Times New Roman" w:hAnsi="Times New Roman" w:eastAsia="宋体" w:cs="Times New Roman"/>
                <w:color w:val="auto"/>
                <w:szCs w:val="22"/>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聂小芳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330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r>
                    <w:rPr>
                      <w:rFonts w:hint="eastAsia"/>
                    </w:rPr>
                    <w:t>主要的风险或机遇描述</w:t>
                  </w:r>
                </w:p>
              </w:tc>
              <w:tc>
                <w:tcPr>
                  <w:tcW w:w="330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r>
                    <w:rPr>
                      <w:rFonts w:hint="eastAsia" w:ascii="宋体" w:hAnsi="宋体" w:cs="Arial"/>
                      <w:color w:val="auto"/>
                      <w:spacing w:val="-6"/>
                      <w:sz w:val="21"/>
                      <w:szCs w:val="21"/>
                    </w:rPr>
                    <w:t>触电伤害</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潜在火灾</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交通意外伤害</w:t>
                  </w:r>
                </w:p>
              </w:tc>
              <w:tc>
                <w:tcPr>
                  <w:tcW w:w="3308" w:type="dxa"/>
                </w:tcPr>
                <w:p>
                  <w:pPr>
                    <w:rPr>
                      <w:rFonts w:hint="eastAsia" w:eastAsia="宋体"/>
                      <w:lang w:eastAsia="zh-CN"/>
                    </w:rPr>
                  </w:pPr>
                  <w:r>
                    <w:rPr>
                      <w:rFonts w:hint="eastAsia"/>
                      <w:lang w:eastAsia="zh-CN"/>
                    </w:rPr>
                    <w:t>运行控制、应急管理</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tc>
              <w:tc>
                <w:tcPr>
                  <w:tcW w:w="3308"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tc>
              <w:tc>
                <w:tcPr>
                  <w:tcW w:w="3308"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tc>
              <w:tc>
                <w:tcPr>
                  <w:tcW w:w="3308"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pPr>
                  <w:r>
                    <w:rPr>
                      <w:rFonts w:hint="eastAsia" w:ascii="Times New Roman" w:hAnsi="Times New Roman" w:eastAsia="宋体" w:cs="Times New Roman"/>
                      <w:color w:val="auto"/>
                      <w:szCs w:val="22"/>
                    </w:rPr>
                    <w:t>火灾事故未0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color w:val="auto"/>
                      <w:szCs w:val="22"/>
                    </w:rPr>
                    <w:t>交通意外伤害为零</w:t>
                  </w:r>
                </w:p>
              </w:tc>
              <w:tc>
                <w:tcPr>
                  <w:tcW w:w="3136"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宋体" w:hAnsi="宋体" w:cs="Arial"/>
                <w:color w:val="auto"/>
                <w:spacing w:val="-6"/>
                <w:sz w:val="21"/>
                <w:szCs w:val="21"/>
                <w:lang w:val="en-US" w:eastAsia="zh-CN"/>
              </w:rPr>
              <w:t>电脑、车辆、扳手、老虎钳</w:t>
            </w:r>
          </w:p>
          <w:p>
            <w:r>
              <w:rPr>
                <w:rFonts w:hint="eastAsia"/>
              </w:rPr>
              <w:t>主要安全装置有：灭火器、消防栓</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A3"/>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运行控制、应急预案</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于2022.1.10进行了的演练；并总结了预案的可行性和有效性。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定期（每年）：2021年12月8日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月11-12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最高管理者已按策划的时间间隔，在2022年1月19日对组织的职业健康安全管理体系进行了评审，以确保其持续的适宜性、充分性和有效性；管理评审输入、输出均按要求提供。并对提出的改进措施进行了落实。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bookmarkStart w:id="34" w:name="_GoBack"/>
      <w:bookmarkEnd w:id="34"/>
    </w:p>
    <w:tbl>
      <w:tblPr>
        <w:tblStyle w:val="8"/>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48"/>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8"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4DC2E52"/>
    <w:rsid w:val="636A1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18645</Words>
  <Characters>19458</Characters>
  <Lines>150</Lines>
  <Paragraphs>42</Paragraphs>
  <TotalTime>1</TotalTime>
  <ScaleCrop>false</ScaleCrop>
  <LinksUpToDate>false</LinksUpToDate>
  <CharactersWithSpaces>19582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2022-04-02T03:18:57Z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